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49A0" w:rsidRDefault="009E49A0" w:rsidP="009E49A0">
      <w:pPr>
        <w:spacing w:line="240" w:lineRule="auto"/>
        <w:jc w:val="center"/>
        <w:rPr>
          <w:rFonts w:ascii="Tahoma" w:hAnsi="Tahoma" w:cs="Tahoma"/>
          <w:b/>
          <w:sz w:val="28"/>
          <w:szCs w:val="28"/>
        </w:rPr>
      </w:pPr>
      <w:r>
        <w:rPr>
          <w:rFonts w:ascii="Tahoma" w:hAnsi="Tahoma" w:cs="Tahoma"/>
          <w:b/>
          <w:sz w:val="28"/>
          <w:szCs w:val="28"/>
        </w:rPr>
        <w:t>DO THE CHANGES IN OIL PRICES AFFECT FOOD PRICE?</w:t>
      </w:r>
    </w:p>
    <w:p w:rsidR="009E49A0" w:rsidRDefault="009E49A0" w:rsidP="009E49A0">
      <w:pPr>
        <w:spacing w:line="240" w:lineRule="auto"/>
        <w:jc w:val="center"/>
        <w:rPr>
          <w:rFonts w:ascii="Tahoma" w:hAnsi="Tahoma" w:cs="Tahoma"/>
          <w:b/>
          <w:bCs/>
          <w:sz w:val="28"/>
          <w:szCs w:val="28"/>
        </w:rPr>
      </w:pPr>
      <w:r>
        <w:rPr>
          <w:rFonts w:ascii="Tahoma" w:hAnsi="Tahoma" w:cs="Tahoma"/>
          <w:b/>
          <w:sz w:val="28"/>
          <w:szCs w:val="28"/>
        </w:rPr>
        <w:t>CASE STUDY IN INDONESIA</w:t>
      </w:r>
    </w:p>
    <w:p w:rsidR="009E49A0" w:rsidRDefault="009E49A0" w:rsidP="009E49A0">
      <w:pPr>
        <w:spacing w:line="240" w:lineRule="auto"/>
        <w:jc w:val="center"/>
        <w:rPr>
          <w:rFonts w:ascii="Tahoma" w:hAnsi="Tahoma" w:cs="Tahoma"/>
          <w:b/>
          <w:sz w:val="20"/>
          <w:szCs w:val="20"/>
        </w:rPr>
      </w:pPr>
    </w:p>
    <w:p w:rsidR="009E49A0" w:rsidRDefault="009E49A0" w:rsidP="009E49A0">
      <w:pPr>
        <w:pStyle w:val="Abstract"/>
        <w:spacing w:after="0"/>
        <w:ind w:left="0"/>
        <w:jc w:val="center"/>
        <w:rPr>
          <w:rFonts w:ascii="Tahoma" w:hAnsi="Tahoma" w:cs="Tahoma"/>
          <w:b/>
          <w:sz w:val="24"/>
          <w:szCs w:val="24"/>
          <w:vertAlign w:val="superscript"/>
          <w:lang w:val="en-US"/>
        </w:rPr>
      </w:pPr>
      <w:r>
        <w:rPr>
          <w:rFonts w:ascii="Tahoma" w:hAnsi="Tahoma" w:cs="Tahoma"/>
          <w:b/>
          <w:sz w:val="24"/>
          <w:szCs w:val="24"/>
          <w:lang w:val="id-ID"/>
        </w:rPr>
        <w:t>Erwin Candra</w:t>
      </w:r>
      <w:r>
        <w:rPr>
          <w:rFonts w:ascii="Tahoma" w:hAnsi="Tahoma" w:cs="Tahoma"/>
          <w:b/>
          <w:sz w:val="24"/>
          <w:szCs w:val="24"/>
          <w:vertAlign w:val="superscript"/>
          <w:lang w:val="id-ID"/>
        </w:rPr>
        <w:t>1</w:t>
      </w:r>
      <w:r>
        <w:rPr>
          <w:rFonts w:ascii="Tahoma" w:hAnsi="Tahoma" w:cs="Tahoma"/>
          <w:b/>
          <w:sz w:val="24"/>
          <w:szCs w:val="24"/>
          <w:vertAlign w:val="superscript"/>
          <w:lang w:val="en-US"/>
        </w:rPr>
        <w:t>)</w:t>
      </w:r>
      <w:r>
        <w:rPr>
          <w:rFonts w:ascii="Tahoma" w:hAnsi="Tahoma" w:cs="Tahoma"/>
          <w:b/>
          <w:sz w:val="24"/>
          <w:szCs w:val="24"/>
          <w:lang w:val="id-ID"/>
        </w:rPr>
        <w:t xml:space="preserve"> and Rizqi Sari Anggraini</w:t>
      </w:r>
      <w:r>
        <w:rPr>
          <w:rFonts w:ascii="Tahoma" w:hAnsi="Tahoma" w:cs="Tahoma"/>
          <w:b/>
          <w:sz w:val="24"/>
          <w:szCs w:val="24"/>
          <w:vertAlign w:val="superscript"/>
          <w:lang w:val="id-ID"/>
        </w:rPr>
        <w:t>2</w:t>
      </w:r>
      <w:r>
        <w:rPr>
          <w:rFonts w:ascii="Tahoma" w:hAnsi="Tahoma" w:cs="Tahoma"/>
          <w:b/>
          <w:sz w:val="24"/>
          <w:szCs w:val="24"/>
          <w:vertAlign w:val="superscript"/>
          <w:lang w:val="en-US"/>
        </w:rPr>
        <w:t>)</w:t>
      </w:r>
    </w:p>
    <w:p w:rsidR="009E49A0" w:rsidRDefault="009E49A0" w:rsidP="009E49A0">
      <w:pPr>
        <w:spacing w:line="240" w:lineRule="auto"/>
        <w:jc w:val="center"/>
        <w:rPr>
          <w:rFonts w:ascii="Tahoma" w:hAnsi="Tahoma" w:cs="Tahoma"/>
          <w:b/>
          <w:sz w:val="24"/>
          <w:szCs w:val="24"/>
          <w:vertAlign w:val="superscript"/>
        </w:rPr>
      </w:pPr>
    </w:p>
    <w:p w:rsidR="009E49A0" w:rsidRDefault="009E49A0" w:rsidP="009E49A0">
      <w:pPr>
        <w:widowControl w:val="0"/>
        <w:spacing w:line="240" w:lineRule="auto"/>
        <w:jc w:val="center"/>
        <w:rPr>
          <w:rFonts w:ascii="Tahoma" w:hAnsi="Tahoma" w:cs="Tahoma"/>
          <w:sz w:val="20"/>
          <w:szCs w:val="20"/>
        </w:rPr>
      </w:pPr>
      <w:r>
        <w:rPr>
          <w:rFonts w:ascii="Tahoma" w:hAnsi="Tahoma" w:cs="Tahoma"/>
          <w:color w:val="000000"/>
          <w:sz w:val="20"/>
          <w:szCs w:val="20"/>
          <w:vertAlign w:val="superscript"/>
          <w:lang w:val="de-DE"/>
        </w:rPr>
        <w:t xml:space="preserve">1) </w:t>
      </w:r>
      <w:proofErr w:type="spellStart"/>
      <w:r>
        <w:rPr>
          <w:rFonts w:ascii="Tahoma" w:hAnsi="Tahoma" w:cs="Tahoma"/>
          <w:sz w:val="20"/>
          <w:szCs w:val="20"/>
        </w:rPr>
        <w:t>Mahasiswa</w:t>
      </w:r>
      <w:proofErr w:type="spellEnd"/>
      <w:r>
        <w:rPr>
          <w:rFonts w:ascii="Tahoma" w:hAnsi="Tahoma" w:cs="Tahoma"/>
          <w:sz w:val="20"/>
          <w:szCs w:val="20"/>
        </w:rPr>
        <w:t xml:space="preserve"> Magister </w:t>
      </w:r>
      <w:proofErr w:type="spellStart"/>
      <w:r>
        <w:rPr>
          <w:rFonts w:ascii="Tahoma" w:hAnsi="Tahoma" w:cs="Tahoma"/>
          <w:sz w:val="20"/>
          <w:szCs w:val="20"/>
        </w:rPr>
        <w:t>Agribisnis</w:t>
      </w:r>
      <w:proofErr w:type="spellEnd"/>
      <w:r>
        <w:rPr>
          <w:rFonts w:ascii="Tahoma" w:hAnsi="Tahoma" w:cs="Tahoma"/>
          <w:sz w:val="20"/>
          <w:szCs w:val="20"/>
        </w:rPr>
        <w:t xml:space="preserve"> </w:t>
      </w:r>
      <w:proofErr w:type="spellStart"/>
      <w:r>
        <w:rPr>
          <w:rFonts w:ascii="Tahoma" w:hAnsi="Tahoma" w:cs="Tahoma"/>
          <w:sz w:val="20"/>
          <w:szCs w:val="20"/>
        </w:rPr>
        <w:t>Universitas</w:t>
      </w:r>
      <w:proofErr w:type="spellEnd"/>
      <w:r>
        <w:rPr>
          <w:rFonts w:ascii="Tahoma" w:hAnsi="Tahoma" w:cs="Tahoma"/>
          <w:sz w:val="20"/>
          <w:szCs w:val="20"/>
        </w:rPr>
        <w:t xml:space="preserve"> Riau</w:t>
      </w:r>
    </w:p>
    <w:p w:rsidR="009E49A0" w:rsidRDefault="009E49A0" w:rsidP="009E49A0">
      <w:pPr>
        <w:pStyle w:val="Abstract"/>
        <w:spacing w:after="0"/>
        <w:ind w:left="-142"/>
        <w:jc w:val="center"/>
        <w:rPr>
          <w:rFonts w:ascii="Tahoma" w:hAnsi="Tahoma" w:cs="Tahoma"/>
          <w:lang w:val="de-DE"/>
        </w:rPr>
      </w:pPr>
      <w:r>
        <w:rPr>
          <w:rFonts w:ascii="Tahoma" w:hAnsi="Tahoma" w:cs="Tahoma"/>
          <w:iCs/>
          <w:vertAlign w:val="superscript"/>
          <w:lang w:val="id-ID"/>
        </w:rPr>
        <w:t>2</w:t>
      </w:r>
      <w:r>
        <w:rPr>
          <w:rFonts w:ascii="Tahoma" w:hAnsi="Tahoma" w:cs="Tahoma"/>
          <w:iCs/>
          <w:vertAlign w:val="superscript"/>
          <w:lang w:val="en-US"/>
        </w:rPr>
        <w:t>)</w:t>
      </w:r>
      <w:r>
        <w:rPr>
          <w:rFonts w:ascii="Tahoma" w:hAnsi="Tahoma" w:cs="Tahoma"/>
          <w:iCs/>
          <w:lang w:val="id-ID"/>
        </w:rPr>
        <w:t xml:space="preserve"> </w:t>
      </w:r>
      <w:r>
        <w:rPr>
          <w:rFonts w:ascii="Tahoma" w:hAnsi="Tahoma" w:cs="Tahoma"/>
          <w:lang w:val="de-DE"/>
        </w:rPr>
        <w:t>Peneliti Pada Balai Pengkajian Teknologi Pertanian (BPTP) Riau</w:t>
      </w:r>
    </w:p>
    <w:p w:rsidR="009E49A0" w:rsidRDefault="009E49A0" w:rsidP="009E49A0">
      <w:pPr>
        <w:spacing w:line="240" w:lineRule="auto"/>
        <w:jc w:val="center"/>
        <w:rPr>
          <w:rFonts w:ascii="Tahoma" w:hAnsi="Tahoma" w:cs="Tahoma"/>
          <w:sz w:val="20"/>
          <w:szCs w:val="20"/>
        </w:rPr>
      </w:pPr>
    </w:p>
    <w:p w:rsidR="009E49A0" w:rsidRDefault="009E49A0" w:rsidP="009E49A0">
      <w:pPr>
        <w:spacing w:line="240" w:lineRule="auto"/>
        <w:jc w:val="center"/>
        <w:rPr>
          <w:rFonts w:ascii="Tahoma" w:hAnsi="Tahoma" w:cs="Tahoma"/>
          <w:sz w:val="20"/>
          <w:szCs w:val="20"/>
        </w:rPr>
      </w:pPr>
    </w:p>
    <w:p w:rsidR="009E49A0" w:rsidRDefault="009E49A0" w:rsidP="009E49A0">
      <w:pPr>
        <w:spacing w:line="240" w:lineRule="auto"/>
        <w:jc w:val="center"/>
        <w:rPr>
          <w:rFonts w:ascii="Tahoma" w:hAnsi="Tahoma" w:cs="Tahoma"/>
          <w:b/>
          <w:sz w:val="24"/>
          <w:szCs w:val="24"/>
        </w:rPr>
      </w:pPr>
      <w:r>
        <w:rPr>
          <w:rFonts w:ascii="Tahoma" w:hAnsi="Tahoma" w:cs="Tahoma"/>
          <w:b/>
          <w:sz w:val="24"/>
          <w:szCs w:val="24"/>
        </w:rPr>
        <w:t>ABSTRAK</w:t>
      </w:r>
    </w:p>
    <w:p w:rsidR="009E49A0" w:rsidRDefault="009E49A0" w:rsidP="009E49A0">
      <w:pPr>
        <w:spacing w:line="240" w:lineRule="auto"/>
        <w:jc w:val="center"/>
        <w:rPr>
          <w:rFonts w:ascii="Tahoma" w:hAnsi="Tahoma" w:cs="Tahoma"/>
          <w:b/>
          <w:sz w:val="24"/>
          <w:szCs w:val="24"/>
        </w:rPr>
      </w:pPr>
    </w:p>
    <w:p w:rsidR="009E49A0" w:rsidRDefault="009E49A0" w:rsidP="009E49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color w:val="212121"/>
          <w:sz w:val="20"/>
          <w:szCs w:val="20"/>
          <w:lang w:val="en-GB" w:eastAsia="en-GB"/>
        </w:rPr>
      </w:pPr>
      <w:r>
        <w:rPr>
          <w:rFonts w:ascii="Tahoma" w:hAnsi="Tahoma" w:cs="Tahoma"/>
          <w:color w:val="212121"/>
          <w:sz w:val="20"/>
          <w:szCs w:val="20"/>
          <w:lang w:val="id-ID" w:eastAsia="en-GB"/>
        </w:rPr>
        <w:t xml:space="preserve">Makalah ini bertujuan untuk mengetahui hubungan antara perubahan harga bahan bakar dengan inflasi pangan di Indonesia. Makalah ini juga menganalisis jenis bahan bakar minyak dan mencoba membandingkan kasus ini di 5 provinsi berbeda di Indonesia. Penelitian ini menggunakan data time series dan panel. Data time series digunakan untuk analisis deskriptif perkembangan laju inflasi di Indonesia. Selanjutnya, data panel digunakan untuk menganalisis berdasarkan provinsi di Indonesia. Sedangkan jangka waktu (t) adalah 34 tahun pada periode 1979-2012 dan jumlah data panel (t) adalah 3 tahun pada periode 2013 - 2015. Penelitian ini menggunakan data sekunder yang berkaitan dengan harga bahan bakar minyak dan inflasi tarif di Indonesia. Analisis dalam penelitian ini menggunakan analisis deskriptif dan metode Ordinary Least Square (OLS) dengan estimasi efek tetap. Hasil penelitian menunjukkan Pengaruh perubahan harga bensin dan solar secara signifikan berkorelasi dengan inflasi di Indonesia. Hal ini dapat dilihat dari R2 0,88, berarti fluktuasi 88% dalam tingkat inflasi ditentukan oleh harga bahan bakar minyak. </w:t>
      </w:r>
    </w:p>
    <w:p w:rsidR="009E49A0" w:rsidRDefault="009E49A0" w:rsidP="009E49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rPr>
      </w:pPr>
    </w:p>
    <w:p w:rsidR="009E49A0" w:rsidRDefault="009E49A0" w:rsidP="009E49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rPr>
      </w:pPr>
      <w:r>
        <w:rPr>
          <w:rFonts w:ascii="Tahoma" w:eastAsia="Times New Roman" w:hAnsi="Tahoma" w:cs="Tahoma"/>
          <w:b/>
          <w:color w:val="212121"/>
          <w:sz w:val="20"/>
          <w:szCs w:val="20"/>
          <w:lang w:val="id-ID"/>
        </w:rPr>
        <w:t>Kata Kunci</w:t>
      </w:r>
      <w:r>
        <w:rPr>
          <w:rFonts w:ascii="Tahoma" w:eastAsia="Times New Roman" w:hAnsi="Tahoma" w:cs="Tahoma"/>
          <w:color w:val="212121"/>
          <w:sz w:val="20"/>
          <w:szCs w:val="20"/>
          <w:lang w:val="id-ID"/>
        </w:rPr>
        <w:t>: beras,</w:t>
      </w:r>
      <w:r>
        <w:rPr>
          <w:rFonts w:ascii="Tahoma" w:eastAsia="Times New Roman" w:hAnsi="Tahoma" w:cs="Tahoma"/>
          <w:color w:val="212121"/>
          <w:sz w:val="20"/>
          <w:szCs w:val="20"/>
        </w:rPr>
        <w:t xml:space="preserve"> </w:t>
      </w:r>
      <w:proofErr w:type="spellStart"/>
      <w:r>
        <w:rPr>
          <w:rFonts w:ascii="Tahoma" w:eastAsia="Times New Roman" w:hAnsi="Tahoma" w:cs="Tahoma"/>
          <w:color w:val="212121"/>
          <w:sz w:val="20"/>
          <w:szCs w:val="20"/>
        </w:rPr>
        <w:t>Inovasi</w:t>
      </w:r>
      <w:proofErr w:type="spellEnd"/>
      <w:r>
        <w:rPr>
          <w:rFonts w:ascii="Tahoma" w:eastAsia="Times New Roman" w:hAnsi="Tahoma" w:cs="Tahoma"/>
          <w:color w:val="212121"/>
          <w:sz w:val="20"/>
          <w:szCs w:val="20"/>
        </w:rPr>
        <w:t xml:space="preserve"> s</w:t>
      </w:r>
      <w:r>
        <w:rPr>
          <w:rFonts w:ascii="Tahoma" w:eastAsia="Times New Roman" w:hAnsi="Tahoma" w:cs="Tahoma"/>
          <w:color w:val="212121"/>
          <w:sz w:val="20"/>
          <w:szCs w:val="20"/>
          <w:lang w:val="id-ID"/>
        </w:rPr>
        <w:t xml:space="preserve">istem </w:t>
      </w:r>
      <w:proofErr w:type="spellStart"/>
      <w:r>
        <w:rPr>
          <w:rFonts w:ascii="Tahoma" w:eastAsia="Times New Roman" w:hAnsi="Tahoma" w:cs="Tahoma"/>
          <w:color w:val="212121"/>
          <w:sz w:val="20"/>
          <w:szCs w:val="20"/>
        </w:rPr>
        <w:t>sektoral</w:t>
      </w:r>
      <w:proofErr w:type="spellEnd"/>
    </w:p>
    <w:p w:rsidR="009E49A0" w:rsidRDefault="009E49A0" w:rsidP="009E49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rPr>
      </w:pPr>
    </w:p>
    <w:p w:rsidR="009E49A0" w:rsidRDefault="009E49A0" w:rsidP="009E49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rPr>
      </w:pPr>
    </w:p>
    <w:p w:rsidR="009E49A0" w:rsidRDefault="009E49A0" w:rsidP="009E49A0">
      <w:pPr>
        <w:spacing w:line="240" w:lineRule="auto"/>
        <w:rPr>
          <w:rFonts w:ascii="Tahoma" w:hAnsi="Tahoma" w:cs="Tahoma"/>
          <w:b/>
          <w:sz w:val="20"/>
          <w:szCs w:val="20"/>
        </w:rPr>
      </w:pPr>
    </w:p>
    <w:p w:rsidR="009E49A0" w:rsidRDefault="009E49A0" w:rsidP="009E49A0">
      <w:pPr>
        <w:spacing w:line="240" w:lineRule="auto"/>
        <w:jc w:val="center"/>
        <w:rPr>
          <w:rFonts w:ascii="Tahoma" w:hAnsi="Tahoma" w:cs="Tahoma"/>
          <w:b/>
          <w:i/>
          <w:sz w:val="24"/>
          <w:szCs w:val="24"/>
        </w:rPr>
      </w:pPr>
      <w:r>
        <w:rPr>
          <w:rFonts w:ascii="Tahoma" w:hAnsi="Tahoma" w:cs="Tahoma"/>
          <w:b/>
          <w:i/>
          <w:sz w:val="24"/>
          <w:szCs w:val="24"/>
        </w:rPr>
        <w:t>ABSTRACT</w:t>
      </w:r>
    </w:p>
    <w:p w:rsidR="009E49A0" w:rsidRDefault="009E49A0" w:rsidP="009E49A0">
      <w:pPr>
        <w:spacing w:line="240" w:lineRule="auto"/>
        <w:rPr>
          <w:rFonts w:ascii="Tahoma" w:hAnsi="Tahoma" w:cs="Tahoma"/>
          <w:b/>
          <w:i/>
          <w:sz w:val="20"/>
          <w:szCs w:val="20"/>
        </w:rPr>
      </w:pPr>
    </w:p>
    <w:p w:rsidR="009E49A0" w:rsidRDefault="009E49A0" w:rsidP="009E49A0">
      <w:pPr>
        <w:autoSpaceDE w:val="0"/>
        <w:autoSpaceDN w:val="0"/>
        <w:adjustRightInd w:val="0"/>
        <w:spacing w:line="240" w:lineRule="auto"/>
        <w:rPr>
          <w:rFonts w:ascii="Tahoma" w:hAnsi="Tahoma" w:cs="Tahoma"/>
          <w:i/>
          <w:sz w:val="20"/>
          <w:szCs w:val="20"/>
        </w:rPr>
      </w:pPr>
    </w:p>
    <w:p w:rsidR="009E49A0" w:rsidRDefault="009E49A0" w:rsidP="009E49A0">
      <w:pPr>
        <w:spacing w:line="240" w:lineRule="auto"/>
        <w:rPr>
          <w:rFonts w:ascii="Tahoma" w:eastAsia="Times New Roman" w:hAnsi="Tahoma" w:cs="Tahoma"/>
          <w:i/>
          <w:color w:val="000000"/>
          <w:sz w:val="20"/>
          <w:szCs w:val="20"/>
          <w:lang w:eastAsia="en-AU"/>
        </w:rPr>
      </w:pPr>
      <w:r>
        <w:rPr>
          <w:rFonts w:ascii="Tahoma" w:eastAsia="Times New Roman" w:hAnsi="Tahoma" w:cs="Tahoma"/>
          <w:i/>
          <w:color w:val="000000"/>
          <w:sz w:val="20"/>
          <w:szCs w:val="20"/>
          <w:lang w:eastAsia="en-AU"/>
        </w:rPr>
        <w:t xml:space="preserve">This paper aims to find out the correlation between a changed of fuel price to food inflation in Indonesia. </w:t>
      </w:r>
      <w:proofErr w:type="gramStart"/>
      <w:r>
        <w:rPr>
          <w:rFonts w:ascii="Tahoma" w:eastAsia="Times New Roman" w:hAnsi="Tahoma" w:cs="Tahoma"/>
          <w:i/>
          <w:color w:val="000000"/>
          <w:sz w:val="20"/>
          <w:szCs w:val="20"/>
          <w:lang w:eastAsia="en-AU"/>
        </w:rPr>
        <w:t>This paper also try</w:t>
      </w:r>
      <w:proofErr w:type="gramEnd"/>
      <w:r>
        <w:rPr>
          <w:rFonts w:ascii="Tahoma" w:eastAsia="Times New Roman" w:hAnsi="Tahoma" w:cs="Tahoma"/>
          <w:i/>
          <w:color w:val="000000"/>
          <w:sz w:val="20"/>
          <w:szCs w:val="20"/>
          <w:lang w:eastAsia="en-AU"/>
        </w:rPr>
        <w:t xml:space="preserve"> to </w:t>
      </w:r>
      <w:proofErr w:type="spellStart"/>
      <w:r>
        <w:rPr>
          <w:rFonts w:ascii="Tahoma" w:eastAsia="Times New Roman" w:hAnsi="Tahoma" w:cs="Tahoma"/>
          <w:i/>
          <w:color w:val="000000"/>
          <w:sz w:val="20"/>
          <w:szCs w:val="20"/>
          <w:lang w:eastAsia="en-AU"/>
        </w:rPr>
        <w:t>analyse</w:t>
      </w:r>
      <w:proofErr w:type="spellEnd"/>
      <w:r>
        <w:rPr>
          <w:rFonts w:ascii="Tahoma" w:eastAsia="Times New Roman" w:hAnsi="Tahoma" w:cs="Tahoma"/>
          <w:i/>
          <w:color w:val="000000"/>
          <w:sz w:val="20"/>
          <w:szCs w:val="20"/>
          <w:lang w:eastAsia="en-AU"/>
        </w:rPr>
        <w:t xml:space="preserve"> all kinds of oil fuel and try to comparing the case in 5 difference provinces in Indonesia. </w:t>
      </w:r>
      <w:r>
        <w:rPr>
          <w:rFonts w:ascii="Tahoma" w:hAnsi="Tahoma" w:cs="Tahoma"/>
          <w:i/>
          <w:sz w:val="20"/>
          <w:szCs w:val="20"/>
        </w:rPr>
        <w:t xml:space="preserve">This study uses time series and panel data. Time series data are used to the descriptive analysis of inflation rate development in Indonesia. Furthermore, the panel data are used to </w:t>
      </w:r>
      <w:proofErr w:type="spellStart"/>
      <w:r>
        <w:rPr>
          <w:rFonts w:ascii="Tahoma" w:hAnsi="Tahoma" w:cs="Tahoma"/>
          <w:i/>
          <w:sz w:val="20"/>
          <w:szCs w:val="20"/>
        </w:rPr>
        <w:t>analyse</w:t>
      </w:r>
      <w:proofErr w:type="spellEnd"/>
      <w:r>
        <w:rPr>
          <w:rFonts w:ascii="Tahoma" w:hAnsi="Tahoma" w:cs="Tahoma"/>
          <w:i/>
          <w:sz w:val="20"/>
          <w:szCs w:val="20"/>
        </w:rPr>
        <w:t xml:space="preserve"> by province in Indonesia. Whereas, the number time series (t) is 34 years in the period 1979-2012 and the number of panel data (t) is 3 years in the period 2013 – 2015. </w:t>
      </w:r>
      <w:proofErr w:type="gramStart"/>
      <w:r>
        <w:rPr>
          <w:rFonts w:ascii="Tahoma" w:hAnsi="Tahoma" w:cs="Tahoma"/>
          <w:i/>
          <w:sz w:val="20"/>
          <w:szCs w:val="20"/>
        </w:rPr>
        <w:t>This study are</w:t>
      </w:r>
      <w:proofErr w:type="gramEnd"/>
      <w:r>
        <w:rPr>
          <w:rFonts w:ascii="Tahoma" w:hAnsi="Tahoma" w:cs="Tahoma"/>
          <w:i/>
          <w:sz w:val="20"/>
          <w:szCs w:val="20"/>
        </w:rPr>
        <w:t xml:space="preserve"> used secondary data related to oil fuel price and inflation rate in Indonesia. The analysis in this study deploys descriptive analysis and Ordinary Least Square (OLS) method with fixed effect estimation. The result showed </w:t>
      </w:r>
      <w:proofErr w:type="gramStart"/>
      <w:r>
        <w:rPr>
          <w:rFonts w:ascii="Tahoma" w:eastAsia="Times New Roman" w:hAnsi="Tahoma" w:cs="Tahoma"/>
          <w:i/>
          <w:color w:val="000000"/>
          <w:sz w:val="20"/>
          <w:szCs w:val="20"/>
          <w:lang w:eastAsia="en-AU"/>
        </w:rPr>
        <w:t>The</w:t>
      </w:r>
      <w:proofErr w:type="gramEnd"/>
      <w:r>
        <w:rPr>
          <w:rFonts w:ascii="Tahoma" w:eastAsia="Times New Roman" w:hAnsi="Tahoma" w:cs="Tahoma"/>
          <w:i/>
          <w:color w:val="000000"/>
          <w:sz w:val="20"/>
          <w:szCs w:val="20"/>
          <w:lang w:eastAsia="en-AU"/>
        </w:rPr>
        <w:t xml:space="preserve"> effect of gasoline and diesel price change significantly correlate to inflation in Indonesia. It can be seen from R</w:t>
      </w:r>
      <w:r>
        <w:rPr>
          <w:rFonts w:ascii="Tahoma" w:eastAsia="Times New Roman" w:hAnsi="Tahoma" w:cs="Tahoma"/>
          <w:i/>
          <w:color w:val="000000"/>
          <w:sz w:val="20"/>
          <w:szCs w:val="20"/>
          <w:vertAlign w:val="superscript"/>
          <w:lang w:eastAsia="en-AU"/>
        </w:rPr>
        <w:t>2</w:t>
      </w:r>
      <w:r>
        <w:rPr>
          <w:rFonts w:ascii="Tahoma" w:eastAsia="Times New Roman" w:hAnsi="Tahoma" w:cs="Tahoma"/>
          <w:i/>
          <w:color w:val="000000"/>
          <w:sz w:val="20"/>
          <w:szCs w:val="20"/>
          <w:lang w:eastAsia="en-AU"/>
        </w:rPr>
        <w:t xml:space="preserve"> 0.88, means 88 % fluctuation in inflation rate are determined by oil-fuel price. However, the model gives the strange result. </w:t>
      </w:r>
    </w:p>
    <w:p w:rsidR="009E49A0" w:rsidRDefault="009E49A0" w:rsidP="009E49A0">
      <w:pPr>
        <w:autoSpaceDE w:val="0"/>
        <w:autoSpaceDN w:val="0"/>
        <w:adjustRightInd w:val="0"/>
        <w:spacing w:line="240" w:lineRule="auto"/>
        <w:rPr>
          <w:rFonts w:ascii="Tahoma" w:hAnsi="Tahoma" w:cs="Tahoma"/>
          <w:i/>
          <w:sz w:val="20"/>
          <w:szCs w:val="20"/>
        </w:rPr>
      </w:pPr>
    </w:p>
    <w:p w:rsidR="009E49A0" w:rsidRDefault="009E49A0" w:rsidP="009E49A0">
      <w:pPr>
        <w:autoSpaceDE w:val="0"/>
        <w:autoSpaceDN w:val="0"/>
        <w:adjustRightInd w:val="0"/>
        <w:spacing w:line="240" w:lineRule="auto"/>
        <w:rPr>
          <w:rFonts w:ascii="Tahoma" w:hAnsi="Tahoma" w:cs="Tahoma"/>
          <w:i/>
          <w:sz w:val="20"/>
          <w:szCs w:val="20"/>
        </w:rPr>
      </w:pPr>
      <w:r>
        <w:rPr>
          <w:rFonts w:ascii="Tahoma" w:hAnsi="Tahoma" w:cs="Tahoma"/>
          <w:b/>
          <w:i/>
          <w:sz w:val="20"/>
          <w:szCs w:val="20"/>
        </w:rPr>
        <w:t xml:space="preserve">Keyword: </w:t>
      </w:r>
      <w:r>
        <w:rPr>
          <w:rFonts w:ascii="Tahoma" w:hAnsi="Tahoma" w:cs="Tahoma"/>
          <w:i/>
          <w:sz w:val="20"/>
          <w:szCs w:val="20"/>
        </w:rPr>
        <w:t xml:space="preserve">rice, </w:t>
      </w:r>
      <w:proofErr w:type="spellStart"/>
      <w:r>
        <w:rPr>
          <w:rFonts w:ascii="Tahoma" w:hAnsi="Tahoma" w:cs="Tahoma"/>
          <w:i/>
          <w:sz w:val="20"/>
          <w:szCs w:val="20"/>
        </w:rPr>
        <w:t>sectoral</w:t>
      </w:r>
      <w:proofErr w:type="spellEnd"/>
      <w:r>
        <w:rPr>
          <w:rFonts w:ascii="Tahoma" w:hAnsi="Tahoma" w:cs="Tahoma"/>
          <w:i/>
          <w:sz w:val="20"/>
          <w:szCs w:val="20"/>
        </w:rPr>
        <w:t xml:space="preserve"> system of innovation</w:t>
      </w:r>
    </w:p>
    <w:p w:rsidR="009E49A0" w:rsidRDefault="009E49A0" w:rsidP="009E49A0">
      <w:pPr>
        <w:pStyle w:val="NormalWeb"/>
        <w:spacing w:before="0" w:beforeAutospacing="0" w:after="0" w:afterAutospacing="0"/>
        <w:jc w:val="center"/>
        <w:rPr>
          <w:rFonts w:ascii="Tahoma" w:hAnsi="Tahoma" w:cs="Tahoma"/>
          <w:i/>
          <w:color w:val="000000"/>
          <w:sz w:val="20"/>
          <w:szCs w:val="20"/>
          <w:lang w:val="de-DE"/>
        </w:rPr>
      </w:pPr>
    </w:p>
    <w:p w:rsidR="009E49A0" w:rsidRDefault="009E49A0" w:rsidP="009E49A0">
      <w:pPr>
        <w:autoSpaceDE w:val="0"/>
        <w:autoSpaceDN w:val="0"/>
        <w:adjustRightInd w:val="0"/>
        <w:spacing w:line="240" w:lineRule="auto"/>
        <w:rPr>
          <w:rFonts w:ascii="Tahoma" w:hAnsi="Tahoma" w:cs="Tahoma"/>
          <w:i/>
          <w:sz w:val="20"/>
          <w:szCs w:val="20"/>
        </w:rPr>
      </w:pPr>
    </w:p>
    <w:p w:rsidR="009E49A0" w:rsidRDefault="009E49A0" w:rsidP="009E49A0">
      <w:pPr>
        <w:autoSpaceDE w:val="0"/>
        <w:autoSpaceDN w:val="0"/>
        <w:adjustRightInd w:val="0"/>
        <w:spacing w:line="240" w:lineRule="auto"/>
        <w:rPr>
          <w:rFonts w:ascii="Tahoma" w:hAnsi="Tahoma" w:cs="Tahoma"/>
          <w:i/>
          <w:sz w:val="20"/>
          <w:szCs w:val="20"/>
        </w:rPr>
      </w:pPr>
    </w:p>
    <w:p w:rsidR="009E49A0" w:rsidRDefault="009E49A0" w:rsidP="009E49A0">
      <w:pPr>
        <w:autoSpaceDE w:val="0"/>
        <w:autoSpaceDN w:val="0"/>
        <w:adjustRightInd w:val="0"/>
        <w:spacing w:line="240" w:lineRule="auto"/>
        <w:rPr>
          <w:rFonts w:ascii="Tahoma" w:hAnsi="Tahoma" w:cs="Tahoma"/>
          <w:i/>
          <w:sz w:val="20"/>
          <w:szCs w:val="20"/>
        </w:rPr>
      </w:pPr>
    </w:p>
    <w:p w:rsidR="009E49A0" w:rsidRDefault="009E49A0" w:rsidP="009E49A0">
      <w:pPr>
        <w:pStyle w:val="NormalWeb"/>
        <w:spacing w:before="0" w:beforeAutospacing="0" w:after="0" w:afterAutospacing="0"/>
        <w:jc w:val="center"/>
        <w:rPr>
          <w:rFonts w:ascii="Tahoma" w:hAnsi="Tahoma" w:cs="Tahoma"/>
          <w:color w:val="000000"/>
          <w:sz w:val="20"/>
          <w:szCs w:val="20"/>
          <w:lang w:val="de-DE"/>
        </w:rPr>
      </w:pPr>
    </w:p>
    <w:p w:rsidR="009E49A0" w:rsidRDefault="009E49A0" w:rsidP="009E49A0">
      <w:pPr>
        <w:pStyle w:val="NormalWeb"/>
        <w:spacing w:before="0" w:beforeAutospacing="0" w:after="0" w:afterAutospacing="0"/>
        <w:jc w:val="center"/>
        <w:rPr>
          <w:rFonts w:ascii="Tahoma" w:hAnsi="Tahoma" w:cs="Tahoma"/>
          <w:color w:val="000000"/>
          <w:sz w:val="20"/>
          <w:szCs w:val="20"/>
          <w:lang w:val="de-DE"/>
        </w:rPr>
      </w:pPr>
    </w:p>
    <w:p w:rsidR="009E49A0" w:rsidRDefault="009E49A0" w:rsidP="009E49A0">
      <w:pPr>
        <w:pStyle w:val="NormalWeb"/>
        <w:spacing w:before="0" w:beforeAutospacing="0" w:after="0" w:afterAutospacing="0"/>
        <w:jc w:val="center"/>
        <w:rPr>
          <w:rFonts w:ascii="Tahoma" w:hAnsi="Tahoma" w:cs="Tahoma"/>
          <w:color w:val="000000"/>
          <w:sz w:val="20"/>
          <w:szCs w:val="20"/>
          <w:lang w:val="de-DE"/>
        </w:rPr>
      </w:pPr>
    </w:p>
    <w:p w:rsidR="009E49A0" w:rsidRDefault="009E49A0" w:rsidP="009E49A0">
      <w:pPr>
        <w:pStyle w:val="NormalWeb"/>
        <w:spacing w:before="0" w:beforeAutospacing="0" w:after="0" w:afterAutospacing="0"/>
        <w:jc w:val="center"/>
        <w:rPr>
          <w:rFonts w:ascii="Tahoma" w:hAnsi="Tahoma" w:cs="Tahoma"/>
          <w:color w:val="000000"/>
          <w:sz w:val="20"/>
          <w:szCs w:val="20"/>
          <w:lang w:val="de-DE"/>
        </w:rPr>
      </w:pPr>
    </w:p>
    <w:p w:rsidR="009E49A0" w:rsidRDefault="009E49A0" w:rsidP="009E49A0">
      <w:pPr>
        <w:pStyle w:val="NormalWeb"/>
        <w:spacing w:before="0" w:beforeAutospacing="0" w:after="0" w:afterAutospacing="0"/>
        <w:jc w:val="center"/>
        <w:rPr>
          <w:rFonts w:ascii="Tahoma" w:hAnsi="Tahoma" w:cs="Tahoma"/>
          <w:color w:val="000000"/>
          <w:sz w:val="20"/>
          <w:szCs w:val="20"/>
          <w:lang w:val="de-DE"/>
        </w:rPr>
      </w:pPr>
    </w:p>
    <w:p w:rsidR="009E49A0" w:rsidRDefault="009E49A0" w:rsidP="009E49A0">
      <w:pPr>
        <w:spacing w:line="240" w:lineRule="auto"/>
        <w:jc w:val="left"/>
        <w:rPr>
          <w:rFonts w:ascii="Tahoma" w:eastAsia="Times New Roman" w:hAnsi="Tahoma" w:cs="Tahoma"/>
          <w:color w:val="000000"/>
          <w:sz w:val="20"/>
          <w:szCs w:val="20"/>
          <w:vertAlign w:val="superscript"/>
          <w:lang w:val="de-DE" w:eastAsia="x-none"/>
        </w:rPr>
        <w:sectPr w:rsidR="009E49A0">
          <w:pgSz w:w="11907" w:h="16840"/>
          <w:pgMar w:top="1701" w:right="1418" w:bottom="1418" w:left="1701" w:header="964" w:footer="635" w:gutter="0"/>
          <w:pgNumType w:start="1"/>
          <w:cols w:space="720"/>
        </w:sectPr>
      </w:pPr>
    </w:p>
    <w:p w:rsidR="009E49A0" w:rsidRDefault="009E49A0" w:rsidP="009E49A0">
      <w:pPr>
        <w:spacing w:line="240" w:lineRule="auto"/>
        <w:jc w:val="center"/>
        <w:rPr>
          <w:rFonts w:ascii="Tahoma" w:hAnsi="Tahoma" w:cs="Tahoma"/>
          <w:b/>
          <w:sz w:val="24"/>
          <w:szCs w:val="24"/>
        </w:rPr>
      </w:pPr>
      <w:r>
        <w:rPr>
          <w:rFonts w:ascii="Tahoma" w:hAnsi="Tahoma" w:cs="Tahoma"/>
          <w:b/>
          <w:sz w:val="24"/>
          <w:szCs w:val="24"/>
        </w:rPr>
        <w:lastRenderedPageBreak/>
        <w:t>INTRODUCTION</w:t>
      </w:r>
    </w:p>
    <w:p w:rsidR="009E49A0" w:rsidRDefault="009E49A0" w:rsidP="009E49A0">
      <w:pPr>
        <w:spacing w:line="240" w:lineRule="auto"/>
        <w:jc w:val="center"/>
        <w:rPr>
          <w:rFonts w:ascii="Tahoma" w:hAnsi="Tahoma" w:cs="Tahoma"/>
          <w:b/>
          <w:sz w:val="24"/>
          <w:szCs w:val="24"/>
        </w:rPr>
      </w:pP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iCs/>
          <w:sz w:val="20"/>
          <w:szCs w:val="20"/>
        </w:rPr>
        <w:t xml:space="preserve">Food security exists when all people, at all times, have physical, social and economic access to sufficient, safe and nutritious food that meets their dietary needs and food preferences for an active and healthy life. Household food security is the application of this concept at the family level, with individuals within households as the focus of interest. Food insecurity exists when people do not have adequate physical, social or economic access to food as defined above. </w:t>
      </w:r>
      <w:proofErr w:type="gramStart"/>
      <w:r>
        <w:rPr>
          <w:rFonts w:ascii="Tahoma" w:hAnsi="Tahoma" w:cs="Tahoma"/>
          <w:iCs/>
          <w:sz w:val="20"/>
          <w:szCs w:val="20"/>
        </w:rPr>
        <w:t>(</w:t>
      </w:r>
      <w:r>
        <w:rPr>
          <w:rFonts w:ascii="Tahoma" w:hAnsi="Tahoma" w:cs="Tahoma"/>
          <w:sz w:val="20"/>
          <w:szCs w:val="20"/>
        </w:rPr>
        <w:t>FAO, 2003).</w:t>
      </w:r>
      <w:proofErr w:type="gramEnd"/>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Many recent concerns about food security focus on unpredictable but shorter-lived threats to current food security levels such as price shocks and natural disasters. Unlike chronic food insecurity, transitory food insecurity occurs because of a temporary decline in household access to adequate food. Shocks like droughts or economic downturns can affect individuals who normally have appropriate access to food, threatening the stability of food security which implies adequate access to food at all times. It is particularly relevant for emerging economies that are rapidly reducing poverty and the prevalence of food insecurity, but are still vulnerable to shocks that could bring transitory food insecurity. Developed countries also sometimes raise these concerns when justifying their agricultural policies (OECD, 2015). </w:t>
      </w: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Monitoring global and national food price crisis can assist decision makers to better intervene when an eventual food crisis occur in particular region. In general terms, conditions that categorize a region as food crisis are lack of food availability, limited access to food and high prevalence of malnutrition (Cuesta et al (2014).</w:t>
      </w: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There is broad consensus that the 2007–2008 food price </w:t>
      </w:r>
      <w:proofErr w:type="gramStart"/>
      <w:r>
        <w:rPr>
          <w:rFonts w:ascii="Tahoma" w:hAnsi="Tahoma" w:cs="Tahoma"/>
          <w:sz w:val="20"/>
          <w:szCs w:val="20"/>
        </w:rPr>
        <w:t>crisis</w:t>
      </w:r>
      <w:proofErr w:type="gramEnd"/>
      <w:r>
        <w:rPr>
          <w:rFonts w:ascii="Tahoma" w:hAnsi="Tahoma" w:cs="Tahoma"/>
          <w:sz w:val="20"/>
          <w:szCs w:val="20"/>
        </w:rPr>
        <w:t xml:space="preserve"> was detrimental to the welfare of the poor all over the world. For example, in its 2008 State of Food Insecurity publication, the Food and Agriculture Organization of the United Nations (FAO) (2008) estimates that the number of chronically hungry people in 2007 increased by 75 million over its estimate of 848 million undernourished in 2003–2005, with much of the increase attributed to high food prices. </w:t>
      </w:r>
      <w:proofErr w:type="spellStart"/>
      <w:r>
        <w:rPr>
          <w:rFonts w:ascii="Tahoma" w:hAnsi="Tahoma" w:cs="Tahoma"/>
          <w:sz w:val="20"/>
          <w:szCs w:val="20"/>
        </w:rPr>
        <w:t>Ivanic</w:t>
      </w:r>
      <w:proofErr w:type="spellEnd"/>
      <w:r>
        <w:rPr>
          <w:rFonts w:ascii="Tahoma" w:hAnsi="Tahoma" w:cs="Tahoma"/>
          <w:sz w:val="20"/>
          <w:szCs w:val="20"/>
        </w:rPr>
        <w:t xml:space="preserve"> and Martin (2008), based on averages from their nine-country study, estimate that 105 million people could be thrown into dollar-a-day poverty because of the global food price increases.</w:t>
      </w: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In Indonesian food price seems always affected by global oil price. The </w:t>
      </w:r>
      <w:proofErr w:type="gramStart"/>
      <w:r>
        <w:rPr>
          <w:rFonts w:ascii="Tahoma" w:hAnsi="Tahoma" w:cs="Tahoma"/>
          <w:sz w:val="20"/>
          <w:szCs w:val="20"/>
        </w:rPr>
        <w:t xml:space="preserve">fluctuation of </w:t>
      </w:r>
      <w:r>
        <w:rPr>
          <w:rFonts w:ascii="Tahoma" w:hAnsi="Tahoma" w:cs="Tahoma"/>
          <w:sz w:val="20"/>
          <w:szCs w:val="20"/>
        </w:rPr>
        <w:lastRenderedPageBreak/>
        <w:t>global oil price affect</w:t>
      </w:r>
      <w:proofErr w:type="gramEnd"/>
      <w:r>
        <w:rPr>
          <w:rFonts w:ascii="Tahoma" w:hAnsi="Tahoma" w:cs="Tahoma"/>
          <w:sz w:val="20"/>
          <w:szCs w:val="20"/>
        </w:rPr>
        <w:t xml:space="preserve"> to economic growth and tend to affect inflation rate. High economic growth has been achieved for 25 years of Indonesian development since 1969. It was triggered by a huge oil export earning, due to high global oil price. In 1970, oil export was 40.3 % and increased in 1982 to become 82.4 %. However, Indonesian economic growth tent to be decline, in line with lower oil export earning, due to the decreased of domestic oil production. </w:t>
      </w:r>
    </w:p>
    <w:p w:rsidR="009E49A0" w:rsidRDefault="009E49A0" w:rsidP="009E49A0">
      <w:pPr>
        <w:spacing w:line="240" w:lineRule="auto"/>
        <w:ind w:firstLine="720"/>
        <w:rPr>
          <w:rFonts w:ascii="Tahoma" w:hAnsi="Tahoma" w:cs="Tahoma"/>
          <w:sz w:val="20"/>
          <w:szCs w:val="20"/>
        </w:rPr>
      </w:pPr>
      <w:r>
        <w:rPr>
          <w:rFonts w:ascii="Tahoma" w:hAnsi="Tahoma" w:cs="Tahoma"/>
          <w:sz w:val="20"/>
          <w:szCs w:val="20"/>
        </w:rPr>
        <w:t>Indonesian government faced problem where provide energy subsidies that resulting in a deteriorating budget deficit or decrease subsidies that resulting the higher inflation rate due to higher domestic oil price. It was caused by 2004, Indonesia turn into a net oil importer as domestic oil output declined sharply while domestic fuel consumption surged amid the growing economy.</w:t>
      </w:r>
    </w:p>
    <w:p w:rsidR="009E49A0" w:rsidRDefault="009E49A0" w:rsidP="009E49A0">
      <w:pPr>
        <w:spacing w:line="240" w:lineRule="auto"/>
        <w:ind w:firstLine="720"/>
        <w:rPr>
          <w:rFonts w:ascii="Tahoma" w:eastAsia="Times New Roman" w:hAnsi="Tahoma" w:cs="Tahoma"/>
          <w:color w:val="000000"/>
          <w:sz w:val="20"/>
          <w:szCs w:val="20"/>
          <w:lang w:eastAsia="en-AU"/>
        </w:rPr>
      </w:pPr>
      <w:proofErr w:type="gramStart"/>
      <w:r>
        <w:rPr>
          <w:rFonts w:ascii="Tahoma" w:hAnsi="Tahoma" w:cs="Tahoma"/>
          <w:sz w:val="20"/>
          <w:szCs w:val="20"/>
        </w:rPr>
        <w:t xml:space="preserve">Indonesian government regulation to decrease oil subsidies by increase gasoline price IDR.2000/ </w:t>
      </w:r>
      <w:proofErr w:type="spellStart"/>
      <w:r>
        <w:rPr>
          <w:rFonts w:ascii="Tahoma" w:hAnsi="Tahoma" w:cs="Tahoma"/>
          <w:sz w:val="20"/>
          <w:szCs w:val="20"/>
        </w:rPr>
        <w:t>litre</w:t>
      </w:r>
      <w:proofErr w:type="spellEnd"/>
      <w:r>
        <w:rPr>
          <w:rFonts w:ascii="Tahoma" w:hAnsi="Tahoma" w:cs="Tahoma"/>
          <w:sz w:val="20"/>
          <w:szCs w:val="20"/>
        </w:rPr>
        <w:t xml:space="preserve"> and IDR.</w:t>
      </w:r>
      <w:proofErr w:type="gramEnd"/>
      <w:r>
        <w:rPr>
          <w:rFonts w:ascii="Tahoma" w:hAnsi="Tahoma" w:cs="Tahoma"/>
          <w:sz w:val="20"/>
          <w:szCs w:val="20"/>
        </w:rPr>
        <w:t xml:space="preserve"> 1000/diesel has been predicted will increase the inflation rate. </w:t>
      </w:r>
      <w:r>
        <w:rPr>
          <w:rFonts w:ascii="Tahoma" w:eastAsia="Times New Roman" w:hAnsi="Tahoma" w:cs="Tahoma"/>
          <w:color w:val="000000"/>
          <w:sz w:val="20"/>
          <w:szCs w:val="20"/>
          <w:lang w:eastAsia="en-AU"/>
        </w:rPr>
        <w:t>Their reasoning was not only that oil products are required to run agricultural equipment, raising the costs of producing food commodities, and that higher oil prices may raise the price of processing, storing, and distributing food to retail customers (</w:t>
      </w:r>
      <w:proofErr w:type="spellStart"/>
      <w:r>
        <w:rPr>
          <w:rFonts w:ascii="Tahoma" w:eastAsia="Times New Roman" w:hAnsi="Tahoma" w:cs="Tahoma"/>
          <w:color w:val="000000"/>
          <w:sz w:val="20"/>
          <w:szCs w:val="20"/>
          <w:lang w:eastAsia="en-AU"/>
        </w:rPr>
        <w:t>Baumeister</w:t>
      </w:r>
      <w:proofErr w:type="spellEnd"/>
      <w:r>
        <w:rPr>
          <w:rFonts w:ascii="Tahoma" w:eastAsia="Times New Roman" w:hAnsi="Tahoma" w:cs="Tahoma"/>
          <w:color w:val="000000"/>
          <w:sz w:val="20"/>
          <w:szCs w:val="20"/>
          <w:lang w:eastAsia="en-AU"/>
        </w:rPr>
        <w:t xml:space="preserve"> and </w:t>
      </w:r>
      <w:proofErr w:type="spellStart"/>
      <w:r>
        <w:rPr>
          <w:rFonts w:ascii="Tahoma" w:eastAsia="Times New Roman" w:hAnsi="Tahoma" w:cs="Tahoma"/>
          <w:color w:val="000000"/>
          <w:sz w:val="20"/>
          <w:szCs w:val="20"/>
          <w:lang w:eastAsia="en-AU"/>
        </w:rPr>
        <w:t>Kilian</w:t>
      </w:r>
      <w:proofErr w:type="spellEnd"/>
      <w:r>
        <w:rPr>
          <w:rFonts w:ascii="Tahoma" w:eastAsia="Times New Roman" w:hAnsi="Tahoma" w:cs="Tahoma"/>
          <w:color w:val="000000"/>
          <w:sz w:val="20"/>
          <w:szCs w:val="20"/>
          <w:lang w:eastAsia="en-AU"/>
        </w:rPr>
        <w:t xml:space="preserve"> 2013).</w:t>
      </w:r>
    </w:p>
    <w:p w:rsidR="009E49A0" w:rsidRDefault="009E49A0" w:rsidP="009E49A0">
      <w:pPr>
        <w:autoSpaceDE w:val="0"/>
        <w:autoSpaceDN w:val="0"/>
        <w:adjustRightInd w:val="0"/>
        <w:spacing w:line="240" w:lineRule="auto"/>
        <w:ind w:firstLine="720"/>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 xml:space="preserve">This paper aims to find out the correlation between a changed of fuel price to food inflation in Indonesia. </w:t>
      </w:r>
      <w:proofErr w:type="gramStart"/>
      <w:r>
        <w:rPr>
          <w:rFonts w:ascii="Tahoma" w:eastAsia="Times New Roman" w:hAnsi="Tahoma" w:cs="Tahoma"/>
          <w:color w:val="000000"/>
          <w:sz w:val="20"/>
          <w:szCs w:val="20"/>
          <w:lang w:eastAsia="en-AU"/>
        </w:rPr>
        <w:t>This paper also try</w:t>
      </w:r>
      <w:proofErr w:type="gramEnd"/>
      <w:r>
        <w:rPr>
          <w:rFonts w:ascii="Tahoma" w:eastAsia="Times New Roman" w:hAnsi="Tahoma" w:cs="Tahoma"/>
          <w:color w:val="000000"/>
          <w:sz w:val="20"/>
          <w:szCs w:val="20"/>
          <w:lang w:eastAsia="en-AU"/>
        </w:rPr>
        <w:t xml:space="preserve"> to </w:t>
      </w:r>
      <w:proofErr w:type="spellStart"/>
      <w:r>
        <w:rPr>
          <w:rFonts w:ascii="Tahoma" w:eastAsia="Times New Roman" w:hAnsi="Tahoma" w:cs="Tahoma"/>
          <w:color w:val="000000"/>
          <w:sz w:val="20"/>
          <w:szCs w:val="20"/>
          <w:lang w:eastAsia="en-AU"/>
        </w:rPr>
        <w:t>analyse</w:t>
      </w:r>
      <w:proofErr w:type="spellEnd"/>
      <w:r>
        <w:rPr>
          <w:rFonts w:ascii="Tahoma" w:eastAsia="Times New Roman" w:hAnsi="Tahoma" w:cs="Tahoma"/>
          <w:color w:val="000000"/>
          <w:sz w:val="20"/>
          <w:szCs w:val="20"/>
          <w:lang w:eastAsia="en-AU"/>
        </w:rPr>
        <w:t xml:space="preserve"> all kinds of oil fuel and try to comparing the case in 5 difference provinces in Indonesia. </w:t>
      </w:r>
    </w:p>
    <w:p w:rsidR="009E49A0" w:rsidRDefault="009E49A0" w:rsidP="009E49A0">
      <w:pPr>
        <w:spacing w:line="240" w:lineRule="auto"/>
        <w:ind w:firstLine="426"/>
        <w:jc w:val="left"/>
        <w:rPr>
          <w:rFonts w:ascii="Tahoma" w:hAnsi="Tahoma" w:cs="Tahoma"/>
          <w:b/>
          <w:sz w:val="20"/>
          <w:szCs w:val="20"/>
        </w:rPr>
      </w:pPr>
    </w:p>
    <w:p w:rsidR="009E49A0" w:rsidRDefault="009E49A0" w:rsidP="009E49A0">
      <w:pPr>
        <w:spacing w:line="240" w:lineRule="auto"/>
        <w:ind w:firstLine="426"/>
        <w:jc w:val="center"/>
        <w:rPr>
          <w:rFonts w:ascii="Tahoma" w:hAnsi="Tahoma" w:cs="Tahoma"/>
          <w:b/>
          <w:sz w:val="24"/>
          <w:szCs w:val="24"/>
        </w:rPr>
      </w:pPr>
      <w:r>
        <w:rPr>
          <w:rFonts w:ascii="Tahoma" w:hAnsi="Tahoma" w:cs="Tahoma"/>
          <w:b/>
          <w:sz w:val="24"/>
          <w:szCs w:val="24"/>
        </w:rPr>
        <w:t>METHODOLOGY</w:t>
      </w:r>
    </w:p>
    <w:p w:rsidR="009E49A0" w:rsidRDefault="009E49A0" w:rsidP="009E49A0">
      <w:pPr>
        <w:spacing w:line="240" w:lineRule="auto"/>
        <w:ind w:firstLine="426"/>
        <w:jc w:val="center"/>
        <w:rPr>
          <w:rFonts w:ascii="Tahoma" w:hAnsi="Tahoma" w:cs="Tahoma"/>
          <w:b/>
          <w:sz w:val="24"/>
          <w:szCs w:val="24"/>
        </w:rPr>
      </w:pPr>
    </w:p>
    <w:p w:rsidR="009E49A0" w:rsidRDefault="009E49A0" w:rsidP="009E49A0">
      <w:pPr>
        <w:spacing w:line="240" w:lineRule="auto"/>
        <w:jc w:val="left"/>
        <w:rPr>
          <w:rFonts w:ascii="Tahoma" w:hAnsi="Tahoma" w:cs="Tahoma"/>
          <w:b/>
          <w:sz w:val="20"/>
          <w:szCs w:val="20"/>
        </w:rPr>
      </w:pPr>
      <w:r>
        <w:rPr>
          <w:rFonts w:ascii="Tahoma" w:hAnsi="Tahoma" w:cs="Tahoma"/>
          <w:b/>
          <w:sz w:val="20"/>
          <w:szCs w:val="20"/>
        </w:rPr>
        <w:t>Data</w:t>
      </w:r>
    </w:p>
    <w:p w:rsidR="009E49A0" w:rsidRDefault="009E49A0" w:rsidP="009E49A0">
      <w:pPr>
        <w:spacing w:line="240" w:lineRule="auto"/>
        <w:ind w:firstLine="720"/>
        <w:rPr>
          <w:rFonts w:ascii="Tahoma" w:hAnsi="Tahoma" w:cs="Tahoma"/>
          <w:sz w:val="20"/>
          <w:szCs w:val="20"/>
        </w:rPr>
      </w:pPr>
      <w:r>
        <w:rPr>
          <w:rFonts w:ascii="Tahoma" w:hAnsi="Tahoma" w:cs="Tahoma"/>
          <w:sz w:val="20"/>
          <w:szCs w:val="20"/>
        </w:rPr>
        <w:t xml:space="preserve">This study uses time series and panel data. Time series data are used to the descriptive analysis of inflation rate development in Indonesia. Furthermore, the panel data are used to </w:t>
      </w:r>
      <w:proofErr w:type="spellStart"/>
      <w:r>
        <w:rPr>
          <w:rFonts w:ascii="Tahoma" w:hAnsi="Tahoma" w:cs="Tahoma"/>
          <w:sz w:val="20"/>
          <w:szCs w:val="20"/>
        </w:rPr>
        <w:t>analyse</w:t>
      </w:r>
      <w:proofErr w:type="spellEnd"/>
      <w:r>
        <w:rPr>
          <w:rFonts w:ascii="Tahoma" w:hAnsi="Tahoma" w:cs="Tahoma"/>
          <w:sz w:val="20"/>
          <w:szCs w:val="20"/>
        </w:rPr>
        <w:t xml:space="preserve"> by province in Indonesia. Whereas, the number time series (t) is 34 years in the period 1979-2012 and the number of panel data (t) is 3 years in the period 2013 – 2015. </w:t>
      </w:r>
    </w:p>
    <w:p w:rsidR="009E49A0" w:rsidRDefault="009E49A0" w:rsidP="009E49A0">
      <w:pPr>
        <w:spacing w:line="240" w:lineRule="auto"/>
        <w:jc w:val="left"/>
        <w:rPr>
          <w:rFonts w:ascii="Tahoma" w:hAnsi="Tahoma" w:cs="Tahoma"/>
          <w:sz w:val="20"/>
          <w:szCs w:val="20"/>
        </w:rPr>
      </w:pPr>
    </w:p>
    <w:p w:rsidR="009E49A0" w:rsidRDefault="009E49A0" w:rsidP="009E49A0">
      <w:pPr>
        <w:spacing w:line="240" w:lineRule="auto"/>
        <w:jc w:val="left"/>
        <w:rPr>
          <w:rFonts w:ascii="Tahoma" w:hAnsi="Tahoma" w:cs="Tahoma"/>
          <w:b/>
          <w:sz w:val="20"/>
          <w:szCs w:val="20"/>
        </w:rPr>
      </w:pPr>
      <w:r>
        <w:rPr>
          <w:rFonts w:ascii="Tahoma" w:hAnsi="Tahoma" w:cs="Tahoma"/>
          <w:b/>
          <w:sz w:val="20"/>
          <w:szCs w:val="20"/>
        </w:rPr>
        <w:t>Data Source</w:t>
      </w:r>
    </w:p>
    <w:p w:rsidR="009E49A0" w:rsidRDefault="009E49A0" w:rsidP="009E49A0">
      <w:pPr>
        <w:spacing w:line="240" w:lineRule="auto"/>
        <w:ind w:firstLine="720"/>
        <w:rPr>
          <w:rFonts w:ascii="Tahoma" w:hAnsi="Tahoma" w:cs="Tahoma"/>
          <w:sz w:val="20"/>
          <w:szCs w:val="20"/>
        </w:rPr>
      </w:pPr>
      <w:proofErr w:type="gramStart"/>
      <w:r>
        <w:rPr>
          <w:rFonts w:ascii="Tahoma" w:hAnsi="Tahoma" w:cs="Tahoma"/>
          <w:sz w:val="20"/>
          <w:szCs w:val="20"/>
        </w:rPr>
        <w:t>This study are</w:t>
      </w:r>
      <w:proofErr w:type="gramEnd"/>
      <w:r>
        <w:rPr>
          <w:rFonts w:ascii="Tahoma" w:hAnsi="Tahoma" w:cs="Tahoma"/>
          <w:sz w:val="20"/>
          <w:szCs w:val="20"/>
        </w:rPr>
        <w:t xml:space="preserve"> used secondary data related to oil fuel price and inflation rate in Indonesia. The data was provided by Indonesian Statistical Bureau (BPS), Indonesian Central Bank and data from relevant institution in Indonesia. </w:t>
      </w:r>
    </w:p>
    <w:p w:rsidR="009E49A0" w:rsidRDefault="009E49A0" w:rsidP="009E49A0">
      <w:pPr>
        <w:spacing w:line="240" w:lineRule="auto"/>
        <w:jc w:val="left"/>
        <w:rPr>
          <w:rFonts w:ascii="Tahoma" w:hAnsi="Tahoma" w:cs="Tahoma"/>
          <w:b/>
          <w:sz w:val="20"/>
          <w:szCs w:val="20"/>
        </w:rPr>
      </w:pPr>
      <w:r>
        <w:rPr>
          <w:rFonts w:ascii="Tahoma" w:hAnsi="Tahoma" w:cs="Tahoma"/>
          <w:b/>
          <w:sz w:val="20"/>
          <w:szCs w:val="20"/>
        </w:rPr>
        <w:lastRenderedPageBreak/>
        <w:t>Analysis</w:t>
      </w:r>
    </w:p>
    <w:p w:rsidR="009E49A0" w:rsidRDefault="009E49A0" w:rsidP="009E49A0">
      <w:pPr>
        <w:spacing w:line="240" w:lineRule="auto"/>
        <w:ind w:firstLine="720"/>
        <w:rPr>
          <w:rFonts w:ascii="Tahoma" w:hAnsi="Tahoma" w:cs="Tahoma"/>
          <w:sz w:val="20"/>
          <w:szCs w:val="20"/>
        </w:rPr>
      </w:pPr>
      <w:r>
        <w:rPr>
          <w:rFonts w:ascii="Tahoma" w:hAnsi="Tahoma" w:cs="Tahoma"/>
          <w:sz w:val="20"/>
          <w:szCs w:val="20"/>
        </w:rPr>
        <w:t xml:space="preserve">The analysis in this study deploys descriptive analysis and Ordinary Least Square (OLS) method with fixed effect estimation. The descriptive analysis is used to describe the inflation rate development by oil fuel change in Indonesia. On the other hand, the fixed effect is used to know the variation in prices around the mean price for each observed province/areas, and to know the variations in quantities around the means inflations for each provinces/areas. </w:t>
      </w:r>
    </w:p>
    <w:p w:rsidR="009E49A0" w:rsidRDefault="009E49A0" w:rsidP="009E49A0">
      <w:pPr>
        <w:spacing w:line="240" w:lineRule="auto"/>
        <w:ind w:firstLine="720"/>
        <w:rPr>
          <w:rFonts w:ascii="Tahoma" w:hAnsi="Tahoma" w:cs="Tahoma"/>
          <w:sz w:val="20"/>
          <w:szCs w:val="20"/>
        </w:rPr>
      </w:pPr>
    </w:p>
    <w:p w:rsidR="009E49A0" w:rsidRDefault="009E49A0" w:rsidP="009E49A0">
      <w:pPr>
        <w:pStyle w:val="Default"/>
        <w:rPr>
          <w:rFonts w:ascii="Tahoma" w:hAnsi="Tahoma" w:cs="Tahoma"/>
          <w:b/>
          <w:bCs/>
          <w:iCs/>
          <w:sz w:val="20"/>
          <w:szCs w:val="20"/>
          <w:lang w:val="en-US"/>
        </w:rPr>
      </w:pPr>
      <w:r>
        <w:rPr>
          <w:rFonts w:ascii="Tahoma" w:hAnsi="Tahoma" w:cs="Tahoma"/>
          <w:b/>
          <w:bCs/>
          <w:iCs/>
          <w:sz w:val="20"/>
          <w:szCs w:val="20"/>
        </w:rPr>
        <w:t>Ordinary Least Square (OLS) Method</w:t>
      </w:r>
    </w:p>
    <w:p w:rsidR="009E49A0" w:rsidRDefault="009E49A0" w:rsidP="009E49A0">
      <w:pPr>
        <w:pStyle w:val="Default"/>
        <w:rPr>
          <w:rFonts w:ascii="Tahoma" w:hAnsi="Tahoma" w:cs="Tahoma"/>
          <w:sz w:val="20"/>
          <w:szCs w:val="20"/>
          <w:lang w:val="en-US"/>
        </w:rPr>
      </w:pPr>
    </w:p>
    <w:p w:rsidR="009E49A0" w:rsidRDefault="009E49A0" w:rsidP="009E49A0">
      <w:pPr>
        <w:pStyle w:val="Default"/>
        <w:rPr>
          <w:rFonts w:ascii="Tahoma" w:hAnsi="Tahoma" w:cs="Tahoma"/>
          <w:sz w:val="20"/>
          <w:szCs w:val="20"/>
        </w:rPr>
      </w:pPr>
      <w:r>
        <w:rPr>
          <w:rFonts w:ascii="Tahoma" w:hAnsi="Tahoma" w:cs="Tahoma"/>
          <w:sz w:val="20"/>
          <w:szCs w:val="20"/>
        </w:rPr>
        <w:t xml:space="preserve">The prior model is : </w:t>
      </w:r>
    </w:p>
    <w:p w:rsidR="009E49A0" w:rsidRDefault="009E49A0" w:rsidP="009E49A0">
      <w:pPr>
        <w:pStyle w:val="Default"/>
        <w:ind w:firstLine="720"/>
        <w:rPr>
          <w:rFonts w:ascii="Tahoma" w:hAnsi="Tahoma" w:cs="Tahoma"/>
          <w:sz w:val="20"/>
          <w:szCs w:val="20"/>
        </w:rPr>
      </w:pPr>
      <w:r>
        <w:rPr>
          <w:rFonts w:ascii="Tahoma" w:hAnsi="Tahoma" w:cs="Tahoma"/>
          <w:bCs/>
          <w:sz w:val="20"/>
          <w:szCs w:val="20"/>
        </w:rPr>
        <w:t xml:space="preserve">INF </w:t>
      </w:r>
      <w:r>
        <w:rPr>
          <w:rFonts w:ascii="Tahoma" w:hAnsi="Tahoma" w:cs="Tahoma"/>
          <w:bCs/>
          <w:sz w:val="20"/>
          <w:szCs w:val="20"/>
        </w:rPr>
        <w:tab/>
        <w:t xml:space="preserve">=  f (Oilfuel)  .................. (1) </w:t>
      </w:r>
    </w:p>
    <w:p w:rsidR="009E49A0" w:rsidRDefault="009E49A0" w:rsidP="009E49A0">
      <w:pPr>
        <w:pStyle w:val="Default"/>
        <w:ind w:firstLine="720"/>
        <w:rPr>
          <w:rFonts w:ascii="Tahoma" w:hAnsi="Tahoma" w:cs="Tahoma"/>
          <w:sz w:val="20"/>
          <w:szCs w:val="20"/>
        </w:rPr>
      </w:pPr>
      <w:r>
        <w:rPr>
          <w:rFonts w:ascii="Tahoma" w:hAnsi="Tahoma" w:cs="Tahoma"/>
          <w:bCs/>
          <w:sz w:val="20"/>
          <w:szCs w:val="20"/>
        </w:rPr>
        <w:t>INF</w:t>
      </w:r>
      <w:r>
        <w:rPr>
          <w:rFonts w:ascii="Tahoma" w:hAnsi="Tahoma" w:cs="Tahoma"/>
          <w:bCs/>
          <w:sz w:val="20"/>
          <w:szCs w:val="20"/>
        </w:rPr>
        <w:tab/>
        <w:t xml:space="preserve">=  </w:t>
      </w:r>
      <w:r>
        <w:rPr>
          <w:rFonts w:ascii="Tahoma" w:hAnsi="Tahoma" w:cs="Tahoma"/>
          <w:bCs/>
          <w:iCs/>
          <w:sz w:val="20"/>
          <w:szCs w:val="20"/>
        </w:rPr>
        <w:t xml:space="preserve">β0 </w:t>
      </w:r>
      <w:r>
        <w:rPr>
          <w:rFonts w:ascii="Tahoma" w:hAnsi="Tahoma" w:cs="Tahoma"/>
          <w:bCs/>
          <w:sz w:val="20"/>
          <w:szCs w:val="20"/>
        </w:rPr>
        <w:t xml:space="preserve">+ </w:t>
      </w:r>
      <w:r>
        <w:rPr>
          <w:rFonts w:ascii="Tahoma" w:hAnsi="Tahoma" w:cs="Tahoma"/>
          <w:bCs/>
          <w:iCs/>
          <w:sz w:val="20"/>
          <w:szCs w:val="20"/>
        </w:rPr>
        <w:t xml:space="preserve">β1 </w:t>
      </w:r>
      <w:r>
        <w:rPr>
          <w:rFonts w:ascii="Tahoma" w:hAnsi="Tahoma" w:cs="Tahoma"/>
          <w:bCs/>
          <w:sz w:val="20"/>
          <w:szCs w:val="20"/>
        </w:rPr>
        <w:t>Oilfuel</w:t>
      </w:r>
      <w:r>
        <w:rPr>
          <w:rFonts w:ascii="Tahoma" w:hAnsi="Tahoma" w:cs="Tahoma"/>
          <w:bCs/>
          <w:sz w:val="20"/>
          <w:szCs w:val="20"/>
          <w:vertAlign w:val="subscript"/>
        </w:rPr>
        <w:t xml:space="preserve">t </w:t>
      </w:r>
      <w:r>
        <w:rPr>
          <w:rFonts w:ascii="Tahoma" w:hAnsi="Tahoma" w:cs="Tahoma"/>
          <w:bCs/>
          <w:sz w:val="20"/>
          <w:szCs w:val="20"/>
        </w:rPr>
        <w:t xml:space="preserve">+ e  ... (2) </w:t>
      </w:r>
    </w:p>
    <w:p w:rsidR="009E49A0" w:rsidRDefault="009E49A0" w:rsidP="009E49A0">
      <w:pPr>
        <w:pStyle w:val="Default"/>
        <w:rPr>
          <w:rFonts w:ascii="Tahoma" w:hAnsi="Tahoma" w:cs="Tahoma"/>
          <w:sz w:val="20"/>
          <w:szCs w:val="20"/>
        </w:rPr>
      </w:pPr>
      <w:r>
        <w:rPr>
          <w:rFonts w:ascii="Tahoma" w:hAnsi="Tahoma" w:cs="Tahoma"/>
          <w:sz w:val="20"/>
          <w:szCs w:val="20"/>
        </w:rPr>
        <w:t xml:space="preserve">where: </w:t>
      </w:r>
    </w:p>
    <w:p w:rsidR="009E49A0" w:rsidRDefault="009E49A0" w:rsidP="009E49A0">
      <w:pPr>
        <w:pStyle w:val="Default"/>
        <w:ind w:firstLine="720"/>
        <w:rPr>
          <w:rFonts w:ascii="Tahoma" w:hAnsi="Tahoma" w:cs="Tahoma"/>
          <w:color w:val="auto"/>
          <w:sz w:val="20"/>
          <w:szCs w:val="20"/>
        </w:rPr>
      </w:pPr>
      <w:r>
        <w:rPr>
          <w:rFonts w:ascii="Tahoma" w:hAnsi="Tahoma" w:cs="Tahoma"/>
          <w:color w:val="auto"/>
          <w:sz w:val="20"/>
          <w:szCs w:val="20"/>
        </w:rPr>
        <w:t>INF</w:t>
      </w:r>
      <w:r>
        <w:rPr>
          <w:rFonts w:ascii="Tahoma" w:hAnsi="Tahoma" w:cs="Tahoma"/>
          <w:color w:val="auto"/>
          <w:sz w:val="20"/>
          <w:szCs w:val="20"/>
        </w:rPr>
        <w:tab/>
        <w:t xml:space="preserve"> = Inflation rate </w:t>
      </w:r>
    </w:p>
    <w:p w:rsidR="009E49A0" w:rsidRDefault="009E49A0" w:rsidP="009E49A0">
      <w:pPr>
        <w:pStyle w:val="Default"/>
        <w:ind w:firstLine="720"/>
        <w:rPr>
          <w:rFonts w:ascii="Tahoma" w:hAnsi="Tahoma" w:cs="Tahoma"/>
          <w:color w:val="auto"/>
          <w:sz w:val="20"/>
          <w:szCs w:val="20"/>
        </w:rPr>
      </w:pPr>
      <w:r>
        <w:rPr>
          <w:rFonts w:ascii="Tahoma" w:hAnsi="Tahoma" w:cs="Tahoma"/>
          <w:color w:val="auto"/>
          <w:sz w:val="20"/>
          <w:szCs w:val="20"/>
        </w:rPr>
        <w:t>Oilfuel</w:t>
      </w:r>
      <w:r>
        <w:rPr>
          <w:rFonts w:ascii="Tahoma" w:hAnsi="Tahoma" w:cs="Tahoma"/>
          <w:color w:val="auto"/>
          <w:sz w:val="20"/>
          <w:szCs w:val="20"/>
          <w:vertAlign w:val="subscript"/>
        </w:rPr>
        <w:t>t</w:t>
      </w:r>
      <w:r>
        <w:rPr>
          <w:rFonts w:ascii="Tahoma" w:hAnsi="Tahoma" w:cs="Tahoma"/>
          <w:color w:val="auto"/>
          <w:sz w:val="20"/>
          <w:szCs w:val="20"/>
        </w:rPr>
        <w:t xml:space="preserve"> = The change of oil fuel </w:t>
      </w:r>
    </w:p>
    <w:p w:rsidR="009E49A0" w:rsidRDefault="009E49A0" w:rsidP="009E49A0">
      <w:pPr>
        <w:spacing w:line="240" w:lineRule="auto"/>
        <w:ind w:firstLine="720"/>
        <w:rPr>
          <w:rFonts w:ascii="Tahoma" w:hAnsi="Tahoma" w:cs="Tahoma"/>
          <w:sz w:val="20"/>
          <w:szCs w:val="20"/>
        </w:rPr>
      </w:pPr>
      <w:r>
        <w:rPr>
          <w:rFonts w:ascii="Tahoma" w:hAnsi="Tahoma" w:cs="Tahoma"/>
          <w:sz w:val="20"/>
          <w:szCs w:val="20"/>
        </w:rPr>
        <w:t xml:space="preserve">e </w:t>
      </w:r>
      <w:r>
        <w:rPr>
          <w:rFonts w:ascii="Tahoma" w:hAnsi="Tahoma" w:cs="Tahoma"/>
          <w:sz w:val="20"/>
          <w:szCs w:val="20"/>
        </w:rPr>
        <w:tab/>
        <w:t xml:space="preserve"> = </w:t>
      </w:r>
      <w:proofErr w:type="spellStart"/>
      <w:r>
        <w:rPr>
          <w:rFonts w:ascii="Tahoma" w:hAnsi="Tahoma" w:cs="Tahoma"/>
          <w:sz w:val="20"/>
          <w:szCs w:val="20"/>
        </w:rPr>
        <w:t>Standar</w:t>
      </w:r>
      <w:proofErr w:type="spellEnd"/>
      <w:r>
        <w:rPr>
          <w:rFonts w:ascii="Tahoma" w:hAnsi="Tahoma" w:cs="Tahoma"/>
          <w:sz w:val="20"/>
          <w:szCs w:val="20"/>
        </w:rPr>
        <w:t xml:space="preserve"> error</w:t>
      </w:r>
    </w:p>
    <w:p w:rsidR="009E49A0" w:rsidRDefault="009E49A0" w:rsidP="009E49A0">
      <w:pPr>
        <w:autoSpaceDE w:val="0"/>
        <w:autoSpaceDN w:val="0"/>
        <w:adjustRightInd w:val="0"/>
        <w:spacing w:line="240" w:lineRule="auto"/>
        <w:rPr>
          <w:rFonts w:ascii="Tahoma" w:hAnsi="Tahoma" w:cs="Tahoma"/>
          <w:sz w:val="20"/>
          <w:szCs w:val="20"/>
        </w:rPr>
      </w:pPr>
      <w:r>
        <w:rPr>
          <w:rFonts w:ascii="Tahoma" w:hAnsi="Tahoma" w:cs="Tahoma"/>
          <w:sz w:val="20"/>
          <w:szCs w:val="20"/>
        </w:rPr>
        <w:t xml:space="preserve">Consider the multiple linear regression model for individual </w:t>
      </w:r>
      <w:proofErr w:type="spellStart"/>
      <w:r>
        <w:rPr>
          <w:rFonts w:ascii="Tahoma" w:hAnsi="Tahoma" w:cs="Tahoma"/>
          <w:sz w:val="20"/>
          <w:szCs w:val="20"/>
        </w:rPr>
        <w:t>i</w:t>
      </w:r>
      <w:proofErr w:type="spellEnd"/>
      <w:r>
        <w:rPr>
          <w:rFonts w:ascii="Tahoma" w:hAnsi="Tahoma" w:cs="Tahoma"/>
          <w:sz w:val="20"/>
          <w:szCs w:val="20"/>
        </w:rPr>
        <w:t xml:space="preserve"> = 1,…</w:t>
      </w:r>
      <w:proofErr w:type="gramStart"/>
      <w:r>
        <w:rPr>
          <w:rFonts w:ascii="Tahoma" w:hAnsi="Tahoma" w:cs="Tahoma"/>
          <w:sz w:val="20"/>
          <w:szCs w:val="20"/>
        </w:rPr>
        <w:t>,N</w:t>
      </w:r>
      <w:proofErr w:type="gramEnd"/>
      <w:r>
        <w:rPr>
          <w:rFonts w:ascii="Tahoma" w:hAnsi="Tahoma" w:cs="Tahoma"/>
          <w:sz w:val="20"/>
          <w:szCs w:val="20"/>
        </w:rPr>
        <w:t xml:space="preserve"> who is observed at several time periods t = 1, …, T</w:t>
      </w:r>
    </w:p>
    <w:p w:rsidR="009E49A0" w:rsidRDefault="009E49A0" w:rsidP="009E49A0">
      <w:pPr>
        <w:autoSpaceDE w:val="0"/>
        <w:autoSpaceDN w:val="0"/>
        <w:adjustRightInd w:val="0"/>
        <w:spacing w:line="240" w:lineRule="auto"/>
        <w:ind w:firstLine="720"/>
        <w:rPr>
          <w:rFonts w:ascii="Tahoma" w:hAnsi="Tahoma" w:cs="Tahoma"/>
          <w:i/>
          <w:sz w:val="20"/>
          <w:szCs w:val="20"/>
          <w:vertAlign w:val="subscript"/>
        </w:rPr>
      </w:pPr>
      <w:r>
        <w:rPr>
          <w:rFonts w:ascii="Tahoma" w:hAnsi="Tahoma" w:cs="Tahoma"/>
          <w:noProof/>
          <w:sz w:val="20"/>
          <w:szCs w:val="20"/>
          <w:lang w:val="id-ID" w:eastAsia="id-ID"/>
        </w:rPr>
        <w:drawing>
          <wp:inline distT="0" distB="0" distL="0" distR="0">
            <wp:extent cx="1805305" cy="415925"/>
            <wp:effectExtent l="0" t="0" r="4445"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l="39209" t="29916" r="34428" b="62987"/>
                    <a:stretch>
                      <a:fillRect/>
                    </a:stretch>
                  </pic:blipFill>
                  <pic:spPr bwMode="auto">
                    <a:xfrm>
                      <a:off x="0" y="0"/>
                      <a:ext cx="1805305" cy="415925"/>
                    </a:xfrm>
                    <a:prstGeom prst="rect">
                      <a:avLst/>
                    </a:prstGeom>
                    <a:noFill/>
                    <a:ln>
                      <a:noFill/>
                    </a:ln>
                  </pic:spPr>
                </pic:pic>
              </a:graphicData>
            </a:graphic>
          </wp:inline>
        </w:drawing>
      </w:r>
      <w:r>
        <w:rPr>
          <w:rFonts w:ascii="Tahoma" w:hAnsi="Tahoma" w:cs="Tahoma"/>
          <w:bCs/>
          <w:sz w:val="20"/>
          <w:szCs w:val="20"/>
        </w:rPr>
        <w:t>..... (3)</w:t>
      </w:r>
    </w:p>
    <w:p w:rsidR="009E49A0" w:rsidRDefault="009E49A0" w:rsidP="009E49A0">
      <w:pPr>
        <w:autoSpaceDE w:val="0"/>
        <w:autoSpaceDN w:val="0"/>
        <w:adjustRightInd w:val="0"/>
        <w:spacing w:line="240" w:lineRule="auto"/>
        <w:jc w:val="center"/>
        <w:rPr>
          <w:rFonts w:ascii="Tahoma" w:hAnsi="Tahoma" w:cs="Tahoma"/>
          <w:sz w:val="20"/>
          <w:szCs w:val="20"/>
        </w:rPr>
      </w:pPr>
    </w:p>
    <w:p w:rsidR="009E49A0" w:rsidRDefault="009E49A0" w:rsidP="009E49A0">
      <w:pPr>
        <w:autoSpaceDE w:val="0"/>
        <w:autoSpaceDN w:val="0"/>
        <w:adjustRightInd w:val="0"/>
        <w:spacing w:line="240" w:lineRule="auto"/>
        <w:rPr>
          <w:rFonts w:ascii="Tahoma" w:hAnsi="Tahoma" w:cs="Tahoma"/>
          <w:sz w:val="20"/>
          <w:szCs w:val="20"/>
        </w:rPr>
      </w:pPr>
      <w:proofErr w:type="gramStart"/>
      <w:r>
        <w:rPr>
          <w:rFonts w:ascii="Tahoma" w:hAnsi="Tahoma" w:cs="Tahoma"/>
          <w:sz w:val="20"/>
          <w:szCs w:val="20"/>
        </w:rPr>
        <w:t>where</w:t>
      </w:r>
      <w:proofErr w:type="gramEnd"/>
      <w:r>
        <w:rPr>
          <w:rFonts w:ascii="Tahoma" w:hAnsi="Tahoma" w:cs="Tahoma"/>
          <w:sz w:val="20"/>
          <w:szCs w:val="20"/>
        </w:rPr>
        <w:t>:</w:t>
      </w:r>
    </w:p>
    <w:p w:rsidR="009E49A0" w:rsidRDefault="009E49A0" w:rsidP="009E49A0">
      <w:pPr>
        <w:autoSpaceDE w:val="0"/>
        <w:autoSpaceDN w:val="0"/>
        <w:adjustRightInd w:val="0"/>
        <w:spacing w:line="240" w:lineRule="auto"/>
        <w:ind w:firstLine="284"/>
        <w:rPr>
          <w:rFonts w:ascii="Tahoma" w:hAnsi="Tahoma" w:cs="Tahoma"/>
          <w:sz w:val="20"/>
          <w:szCs w:val="20"/>
        </w:rPr>
      </w:pPr>
      <w:proofErr w:type="spellStart"/>
      <w:proofErr w:type="gramStart"/>
      <w:r>
        <w:rPr>
          <w:rFonts w:ascii="Tahoma" w:hAnsi="Tahoma" w:cs="Tahoma"/>
          <w:sz w:val="20"/>
          <w:szCs w:val="20"/>
        </w:rPr>
        <w:t>y</w:t>
      </w:r>
      <w:r>
        <w:rPr>
          <w:rFonts w:ascii="Tahoma" w:hAnsi="Tahoma" w:cs="Tahoma"/>
          <w:i/>
          <w:sz w:val="20"/>
          <w:szCs w:val="20"/>
          <w:vertAlign w:val="subscript"/>
        </w:rPr>
        <w:t>it</w:t>
      </w:r>
      <w:proofErr w:type="spellEnd"/>
      <w:proofErr w:type="gramEnd"/>
      <w:r>
        <w:rPr>
          <w:rFonts w:ascii="Tahoma" w:hAnsi="Tahoma" w:cs="Tahoma"/>
          <w:i/>
          <w:sz w:val="20"/>
          <w:szCs w:val="20"/>
          <w:vertAlign w:val="subscript"/>
        </w:rPr>
        <w:tab/>
      </w:r>
      <w:r>
        <w:rPr>
          <w:rFonts w:ascii="Tahoma" w:hAnsi="Tahoma" w:cs="Tahoma"/>
          <w:sz w:val="20"/>
          <w:szCs w:val="20"/>
        </w:rPr>
        <w:t xml:space="preserve">=  the dependent variable, </w:t>
      </w:r>
    </w:p>
    <w:p w:rsidR="009E49A0" w:rsidRDefault="009E49A0" w:rsidP="009E49A0">
      <w:pPr>
        <w:tabs>
          <w:tab w:val="left" w:pos="709"/>
        </w:tabs>
        <w:autoSpaceDE w:val="0"/>
        <w:autoSpaceDN w:val="0"/>
        <w:adjustRightInd w:val="0"/>
        <w:spacing w:line="240" w:lineRule="auto"/>
        <w:ind w:left="993" w:hanging="709"/>
        <w:rPr>
          <w:rFonts w:ascii="Tahoma" w:hAnsi="Tahoma" w:cs="Tahoma"/>
          <w:sz w:val="20"/>
          <w:szCs w:val="20"/>
        </w:rPr>
      </w:pPr>
      <w:proofErr w:type="spellStart"/>
      <w:r>
        <w:rPr>
          <w:rFonts w:ascii="Tahoma" w:hAnsi="Tahoma" w:cs="Tahoma"/>
          <w:sz w:val="20"/>
          <w:szCs w:val="20"/>
        </w:rPr>
        <w:t>x′</w:t>
      </w:r>
      <w:r>
        <w:rPr>
          <w:rFonts w:ascii="Tahoma" w:hAnsi="Tahoma" w:cs="Tahoma"/>
          <w:i/>
          <w:sz w:val="20"/>
          <w:szCs w:val="20"/>
          <w:vertAlign w:val="subscript"/>
        </w:rPr>
        <w:t>it</w:t>
      </w:r>
      <w:proofErr w:type="spellEnd"/>
      <w:r>
        <w:rPr>
          <w:rFonts w:ascii="Tahoma" w:hAnsi="Tahoma" w:cs="Tahoma"/>
          <w:i/>
          <w:sz w:val="20"/>
          <w:szCs w:val="20"/>
          <w:vertAlign w:val="subscript"/>
        </w:rPr>
        <w:t xml:space="preserve"> </w:t>
      </w:r>
      <w:r>
        <w:rPr>
          <w:rFonts w:ascii="Tahoma" w:hAnsi="Tahoma" w:cs="Tahoma"/>
          <w:sz w:val="20"/>
          <w:szCs w:val="20"/>
        </w:rPr>
        <w:t xml:space="preserve"> </w:t>
      </w:r>
      <w:r>
        <w:rPr>
          <w:rFonts w:ascii="Tahoma" w:hAnsi="Tahoma" w:cs="Tahoma"/>
          <w:sz w:val="20"/>
          <w:szCs w:val="20"/>
        </w:rPr>
        <w:tab/>
      </w:r>
      <w:proofErr w:type="gramStart"/>
      <w:r>
        <w:rPr>
          <w:rFonts w:ascii="Tahoma" w:hAnsi="Tahoma" w:cs="Tahoma"/>
          <w:sz w:val="20"/>
          <w:szCs w:val="20"/>
        </w:rPr>
        <w:t>=  K</w:t>
      </w:r>
      <w:proofErr w:type="gramEnd"/>
      <w:r>
        <w:rPr>
          <w:rFonts w:ascii="Tahoma" w:hAnsi="Tahoma" w:cs="Tahoma"/>
          <w:sz w:val="20"/>
          <w:szCs w:val="20"/>
        </w:rPr>
        <w:t xml:space="preserve">-dimensional row vector of time-varying explanatory variables </w:t>
      </w:r>
    </w:p>
    <w:p w:rsidR="009E49A0" w:rsidRDefault="009E49A0" w:rsidP="009E49A0">
      <w:pPr>
        <w:tabs>
          <w:tab w:val="left" w:pos="709"/>
        </w:tabs>
        <w:autoSpaceDE w:val="0"/>
        <w:autoSpaceDN w:val="0"/>
        <w:adjustRightInd w:val="0"/>
        <w:spacing w:line="240" w:lineRule="auto"/>
        <w:ind w:left="993" w:hanging="709"/>
        <w:rPr>
          <w:rFonts w:ascii="Tahoma" w:hAnsi="Tahoma" w:cs="Tahoma"/>
          <w:sz w:val="20"/>
          <w:szCs w:val="20"/>
        </w:rPr>
      </w:pPr>
      <w:proofErr w:type="spellStart"/>
      <w:r>
        <w:rPr>
          <w:rFonts w:ascii="Tahoma" w:hAnsi="Tahoma" w:cs="Tahoma"/>
          <w:sz w:val="20"/>
          <w:szCs w:val="20"/>
        </w:rPr>
        <w:t>z′</w:t>
      </w:r>
      <w:r>
        <w:rPr>
          <w:rFonts w:ascii="Tahoma" w:hAnsi="Tahoma" w:cs="Tahoma"/>
          <w:i/>
          <w:sz w:val="20"/>
          <w:szCs w:val="20"/>
          <w:vertAlign w:val="subscript"/>
        </w:rPr>
        <w:t>I</w:t>
      </w:r>
      <w:proofErr w:type="spellEnd"/>
      <w:r>
        <w:rPr>
          <w:rFonts w:ascii="Tahoma" w:hAnsi="Tahoma" w:cs="Tahoma"/>
          <w:sz w:val="20"/>
          <w:szCs w:val="20"/>
        </w:rPr>
        <w:t xml:space="preserve"> </w:t>
      </w:r>
      <w:r>
        <w:rPr>
          <w:rFonts w:ascii="Tahoma" w:hAnsi="Tahoma" w:cs="Tahoma"/>
          <w:sz w:val="20"/>
          <w:szCs w:val="20"/>
        </w:rPr>
        <w:tab/>
      </w:r>
      <w:proofErr w:type="gramStart"/>
      <w:r>
        <w:rPr>
          <w:rFonts w:ascii="Tahoma" w:hAnsi="Tahoma" w:cs="Tahoma"/>
          <w:sz w:val="20"/>
          <w:szCs w:val="20"/>
        </w:rPr>
        <w:t>=  M</w:t>
      </w:r>
      <w:proofErr w:type="gramEnd"/>
      <w:r>
        <w:rPr>
          <w:rFonts w:ascii="Tahoma" w:hAnsi="Tahoma" w:cs="Tahoma"/>
          <w:sz w:val="20"/>
          <w:szCs w:val="20"/>
        </w:rPr>
        <w:t xml:space="preserve">-dimensional row vector of time-invariant explanatory variables excluding  the constant, </w:t>
      </w:r>
    </w:p>
    <w:p w:rsidR="009E49A0" w:rsidRDefault="009E49A0" w:rsidP="009E49A0">
      <w:pPr>
        <w:tabs>
          <w:tab w:val="left" w:pos="709"/>
        </w:tabs>
        <w:autoSpaceDE w:val="0"/>
        <w:autoSpaceDN w:val="0"/>
        <w:adjustRightInd w:val="0"/>
        <w:spacing w:line="240" w:lineRule="auto"/>
        <w:ind w:left="993" w:hanging="709"/>
        <w:rPr>
          <w:rFonts w:ascii="Tahoma" w:hAnsi="Tahoma" w:cs="Tahoma"/>
          <w:sz w:val="20"/>
          <w:szCs w:val="20"/>
        </w:rPr>
      </w:pPr>
      <w:r>
        <w:rPr>
          <w:rFonts w:ascii="Tahoma" w:hAnsi="Tahoma" w:cs="Tahoma"/>
          <w:sz w:val="20"/>
          <w:szCs w:val="20"/>
        </w:rPr>
        <w:t>α</w:t>
      </w:r>
      <w:r>
        <w:rPr>
          <w:rFonts w:ascii="Tahoma" w:hAnsi="Tahoma" w:cs="Tahoma"/>
          <w:sz w:val="20"/>
          <w:szCs w:val="20"/>
        </w:rPr>
        <w:tab/>
        <w:t>=</w:t>
      </w:r>
      <w:r>
        <w:rPr>
          <w:rFonts w:ascii="Tahoma" w:hAnsi="Tahoma" w:cs="Tahoma"/>
          <w:sz w:val="20"/>
          <w:szCs w:val="20"/>
        </w:rPr>
        <w:tab/>
        <w:t xml:space="preserve"> the intercept,</w:t>
      </w:r>
    </w:p>
    <w:p w:rsidR="009E49A0" w:rsidRDefault="009E49A0" w:rsidP="009E49A0">
      <w:pPr>
        <w:tabs>
          <w:tab w:val="left" w:pos="709"/>
        </w:tabs>
        <w:autoSpaceDE w:val="0"/>
        <w:autoSpaceDN w:val="0"/>
        <w:adjustRightInd w:val="0"/>
        <w:spacing w:line="240" w:lineRule="auto"/>
        <w:ind w:left="993" w:hanging="709"/>
        <w:rPr>
          <w:rFonts w:ascii="Tahoma" w:hAnsi="Tahoma" w:cs="Tahoma"/>
          <w:sz w:val="20"/>
          <w:szCs w:val="20"/>
        </w:rPr>
      </w:pPr>
      <w:r>
        <w:rPr>
          <w:rFonts w:ascii="Tahoma" w:hAnsi="Tahoma" w:cs="Tahoma"/>
          <w:sz w:val="20"/>
          <w:szCs w:val="20"/>
        </w:rPr>
        <w:t>β</w:t>
      </w:r>
      <w:r>
        <w:rPr>
          <w:rFonts w:ascii="Tahoma" w:hAnsi="Tahoma" w:cs="Tahoma"/>
          <w:sz w:val="20"/>
          <w:szCs w:val="20"/>
        </w:rPr>
        <w:tab/>
        <w:t xml:space="preserve">= K-dimensional column vector of parameters,  </w:t>
      </w:r>
    </w:p>
    <w:p w:rsidR="009E49A0" w:rsidRDefault="009E49A0" w:rsidP="009E49A0">
      <w:pPr>
        <w:tabs>
          <w:tab w:val="left" w:pos="709"/>
        </w:tabs>
        <w:autoSpaceDE w:val="0"/>
        <w:autoSpaceDN w:val="0"/>
        <w:adjustRightInd w:val="0"/>
        <w:spacing w:line="240" w:lineRule="auto"/>
        <w:ind w:left="993" w:hanging="709"/>
        <w:rPr>
          <w:rFonts w:ascii="Tahoma" w:hAnsi="Tahoma" w:cs="Tahoma"/>
          <w:sz w:val="20"/>
          <w:szCs w:val="20"/>
        </w:rPr>
      </w:pPr>
      <w:r>
        <w:rPr>
          <w:rFonts w:ascii="Tahoma" w:hAnsi="Tahoma" w:cs="Tahoma"/>
          <w:sz w:val="20"/>
          <w:szCs w:val="20"/>
        </w:rPr>
        <w:t xml:space="preserve">γ </w:t>
      </w:r>
      <w:r>
        <w:rPr>
          <w:rFonts w:ascii="Tahoma" w:hAnsi="Tahoma" w:cs="Tahoma"/>
          <w:sz w:val="20"/>
          <w:szCs w:val="20"/>
        </w:rPr>
        <w:tab/>
        <w:t xml:space="preserve">= M-dimensional column vector of parameters, </w:t>
      </w:r>
    </w:p>
    <w:p w:rsidR="009E49A0" w:rsidRDefault="009E49A0" w:rsidP="009E49A0">
      <w:pPr>
        <w:tabs>
          <w:tab w:val="left" w:pos="709"/>
        </w:tabs>
        <w:autoSpaceDE w:val="0"/>
        <w:autoSpaceDN w:val="0"/>
        <w:adjustRightInd w:val="0"/>
        <w:spacing w:line="240" w:lineRule="auto"/>
        <w:ind w:left="993" w:hanging="709"/>
        <w:rPr>
          <w:rFonts w:ascii="Tahoma" w:hAnsi="Tahoma" w:cs="Tahoma"/>
          <w:sz w:val="20"/>
          <w:szCs w:val="20"/>
        </w:rPr>
      </w:pPr>
      <w:proofErr w:type="gramStart"/>
      <w:r>
        <w:rPr>
          <w:rFonts w:ascii="Tahoma" w:hAnsi="Tahoma" w:cs="Tahoma"/>
          <w:sz w:val="20"/>
          <w:szCs w:val="20"/>
        </w:rPr>
        <w:t>c</w:t>
      </w:r>
      <w:r>
        <w:rPr>
          <w:rFonts w:ascii="Tahoma" w:hAnsi="Tahoma" w:cs="Tahoma"/>
          <w:i/>
          <w:sz w:val="20"/>
          <w:szCs w:val="20"/>
          <w:vertAlign w:val="subscript"/>
        </w:rPr>
        <w:t>i</w:t>
      </w:r>
      <w:proofErr w:type="gramEnd"/>
      <w:r>
        <w:rPr>
          <w:rFonts w:ascii="Tahoma" w:hAnsi="Tahoma" w:cs="Tahoma"/>
          <w:sz w:val="20"/>
          <w:szCs w:val="20"/>
        </w:rPr>
        <w:t xml:space="preserve"> </w:t>
      </w:r>
      <w:r>
        <w:rPr>
          <w:rFonts w:ascii="Tahoma" w:hAnsi="Tahoma" w:cs="Tahoma"/>
          <w:sz w:val="20"/>
          <w:szCs w:val="20"/>
        </w:rPr>
        <w:tab/>
        <w:t xml:space="preserve">= </w:t>
      </w:r>
      <w:r>
        <w:rPr>
          <w:rFonts w:ascii="Tahoma" w:hAnsi="Tahoma" w:cs="Tahoma"/>
          <w:sz w:val="20"/>
          <w:szCs w:val="20"/>
        </w:rPr>
        <w:tab/>
        <w:t>an individual specific effect and</w:t>
      </w:r>
    </w:p>
    <w:p w:rsidR="009E49A0" w:rsidRDefault="009E49A0" w:rsidP="009E49A0">
      <w:pPr>
        <w:tabs>
          <w:tab w:val="left" w:pos="709"/>
        </w:tabs>
        <w:autoSpaceDE w:val="0"/>
        <w:autoSpaceDN w:val="0"/>
        <w:adjustRightInd w:val="0"/>
        <w:spacing w:line="240" w:lineRule="auto"/>
        <w:ind w:left="993" w:hanging="709"/>
        <w:rPr>
          <w:rFonts w:ascii="Tahoma" w:hAnsi="Tahoma" w:cs="Tahoma"/>
          <w:sz w:val="20"/>
          <w:szCs w:val="20"/>
        </w:rPr>
      </w:pPr>
      <w:proofErr w:type="spellStart"/>
      <w:proofErr w:type="gramStart"/>
      <w:r>
        <w:rPr>
          <w:rFonts w:ascii="Tahoma" w:hAnsi="Tahoma" w:cs="Tahoma"/>
          <w:i/>
          <w:sz w:val="20"/>
          <w:szCs w:val="20"/>
        </w:rPr>
        <w:t>u</w:t>
      </w:r>
      <w:r>
        <w:rPr>
          <w:rFonts w:ascii="Tahoma" w:hAnsi="Tahoma" w:cs="Tahoma"/>
          <w:i/>
          <w:sz w:val="20"/>
          <w:szCs w:val="20"/>
          <w:vertAlign w:val="subscript"/>
        </w:rPr>
        <w:t>it</w:t>
      </w:r>
      <w:proofErr w:type="spellEnd"/>
      <w:proofErr w:type="gramEnd"/>
      <w:r>
        <w:rPr>
          <w:rFonts w:ascii="Tahoma" w:hAnsi="Tahoma" w:cs="Tahoma"/>
          <w:sz w:val="20"/>
          <w:szCs w:val="20"/>
        </w:rPr>
        <w:t xml:space="preserve"> </w:t>
      </w:r>
      <w:r>
        <w:rPr>
          <w:rFonts w:ascii="Tahoma" w:hAnsi="Tahoma" w:cs="Tahoma"/>
          <w:sz w:val="20"/>
          <w:szCs w:val="20"/>
        </w:rPr>
        <w:tab/>
        <w:t>=</w:t>
      </w:r>
      <w:r>
        <w:rPr>
          <w:rFonts w:ascii="Tahoma" w:hAnsi="Tahoma" w:cs="Tahoma"/>
          <w:sz w:val="20"/>
          <w:szCs w:val="20"/>
        </w:rPr>
        <w:tab/>
        <w:t xml:space="preserve"> the error term</w:t>
      </w:r>
    </w:p>
    <w:p w:rsidR="009E49A0" w:rsidRDefault="009E49A0" w:rsidP="009E49A0">
      <w:pPr>
        <w:autoSpaceDE w:val="0"/>
        <w:autoSpaceDN w:val="0"/>
        <w:adjustRightInd w:val="0"/>
        <w:spacing w:line="240" w:lineRule="auto"/>
        <w:rPr>
          <w:rFonts w:ascii="Tahoma" w:hAnsi="Tahoma" w:cs="Tahoma"/>
          <w:sz w:val="20"/>
          <w:szCs w:val="20"/>
        </w:rPr>
      </w:pPr>
    </w:p>
    <w:p w:rsidR="009E49A0" w:rsidRDefault="009E49A0" w:rsidP="009E49A0">
      <w:pPr>
        <w:autoSpaceDE w:val="0"/>
        <w:autoSpaceDN w:val="0"/>
        <w:adjustRightInd w:val="0"/>
        <w:spacing w:line="240" w:lineRule="auto"/>
        <w:rPr>
          <w:rFonts w:ascii="Tahoma" w:hAnsi="Tahoma" w:cs="Tahoma"/>
          <w:sz w:val="20"/>
          <w:szCs w:val="20"/>
        </w:rPr>
      </w:pPr>
      <w:r>
        <w:rPr>
          <w:rFonts w:ascii="Tahoma" w:hAnsi="Tahoma" w:cs="Tahoma"/>
          <w:i/>
          <w:iCs/>
          <w:sz w:val="20"/>
          <w:szCs w:val="20"/>
        </w:rPr>
        <w:t>Fixed Effects Model</w:t>
      </w:r>
    </w:p>
    <w:p w:rsidR="009E49A0" w:rsidRDefault="009E49A0" w:rsidP="009E49A0">
      <w:pPr>
        <w:autoSpaceDE w:val="0"/>
        <w:autoSpaceDN w:val="0"/>
        <w:adjustRightInd w:val="0"/>
        <w:spacing w:line="240" w:lineRule="auto"/>
        <w:rPr>
          <w:rFonts w:ascii="Tahoma" w:hAnsi="Tahoma" w:cs="Tahoma"/>
          <w:sz w:val="20"/>
          <w:szCs w:val="20"/>
        </w:rPr>
      </w:pP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The fixed effects method controls for time-invariant variables that have not been measured but that affect y. For example, it could control for the effect of race if information on race was not available in the data set. However, while the effects of time-invariant variables (measured or unmeasured) can be controlled for, their effects cannot actually be estimated, i.e. we cannot estimate the γ for the model.</w:t>
      </w:r>
    </w:p>
    <w:p w:rsidR="009E49A0" w:rsidRDefault="009E49A0" w:rsidP="009E49A0">
      <w:pPr>
        <w:autoSpaceDE w:val="0"/>
        <w:autoSpaceDN w:val="0"/>
        <w:adjustRightInd w:val="0"/>
        <w:spacing w:line="240" w:lineRule="auto"/>
        <w:rPr>
          <w:rFonts w:ascii="Tahoma" w:hAnsi="Tahoma" w:cs="Tahoma"/>
          <w:sz w:val="20"/>
          <w:szCs w:val="20"/>
        </w:rPr>
      </w:pPr>
    </w:p>
    <w:p w:rsidR="009E49A0" w:rsidRDefault="009E49A0" w:rsidP="009E49A0">
      <w:pPr>
        <w:autoSpaceDE w:val="0"/>
        <w:autoSpaceDN w:val="0"/>
        <w:adjustRightInd w:val="0"/>
        <w:spacing w:line="240" w:lineRule="auto"/>
        <w:rPr>
          <w:rFonts w:ascii="Tahoma" w:hAnsi="Tahoma" w:cs="Tahoma"/>
          <w:sz w:val="20"/>
          <w:szCs w:val="20"/>
        </w:rPr>
      </w:pPr>
      <w:r>
        <w:rPr>
          <w:rFonts w:ascii="Tahoma" w:hAnsi="Tahoma" w:cs="Tahoma"/>
          <w:sz w:val="20"/>
          <w:szCs w:val="20"/>
        </w:rPr>
        <w:lastRenderedPageBreak/>
        <w:t xml:space="preserve">On the other hand, if α is uncorrelated with the </w:t>
      </w:r>
      <w:proofErr w:type="spellStart"/>
      <w:r>
        <w:rPr>
          <w:rFonts w:ascii="Tahoma" w:hAnsi="Tahoma" w:cs="Tahoma"/>
          <w:sz w:val="20"/>
          <w:szCs w:val="20"/>
        </w:rPr>
        <w:t>xs</w:t>
      </w:r>
      <w:proofErr w:type="spellEnd"/>
      <w:r>
        <w:rPr>
          <w:rFonts w:ascii="Tahoma" w:hAnsi="Tahoma" w:cs="Tahoma"/>
          <w:sz w:val="20"/>
          <w:szCs w:val="20"/>
        </w:rPr>
        <w:t xml:space="preserve"> (e.g. because no time-invariant variables are omitted, or because the variables that are omitted are not correlated with the variables that are in the model) then a </w:t>
      </w:r>
      <w:r>
        <w:rPr>
          <w:rFonts w:ascii="Tahoma" w:hAnsi="Tahoma" w:cs="Tahoma"/>
          <w:i/>
          <w:iCs/>
          <w:sz w:val="20"/>
          <w:szCs w:val="20"/>
        </w:rPr>
        <w:t xml:space="preserve">random effects model </w:t>
      </w:r>
      <w:r>
        <w:rPr>
          <w:rFonts w:ascii="Tahoma" w:hAnsi="Tahoma" w:cs="Tahoma"/>
          <w:sz w:val="20"/>
          <w:szCs w:val="20"/>
        </w:rPr>
        <w:t>can provide unbiased estimates of both the β and the γ, and will generally have lower standard errors than a fixed effects model.</w:t>
      </w: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In experimental research, unmeasured differences between subjects are often controlled for via random assignment to treatment and control groups. Hence, even if a variable like Socio-Economic Status is not explicitly measured, because of random assignment, we can be reasonably confident that the effects of SES are approximately equal for all groups. Of course, random assignment is usually not possible with most survey research. If we want to control for the effect of a variable, we must explicitly measure it. If we don’t measure it, we can’t control for it. In practice, there will almost certainly be some variables we have failed to measure (or have measured poorly), so our models will likely suffer from some degree of omitted variable bias.</w:t>
      </w:r>
    </w:p>
    <w:p w:rsidR="009E49A0" w:rsidRDefault="009E49A0" w:rsidP="009E49A0">
      <w:pPr>
        <w:autoSpaceDE w:val="0"/>
        <w:autoSpaceDN w:val="0"/>
        <w:adjustRightInd w:val="0"/>
        <w:spacing w:line="240" w:lineRule="auto"/>
        <w:ind w:firstLine="720"/>
        <w:rPr>
          <w:rFonts w:ascii="Tahoma" w:hAnsi="Tahoma" w:cs="Tahoma"/>
          <w:sz w:val="20"/>
          <w:szCs w:val="20"/>
        </w:rPr>
      </w:pPr>
    </w:p>
    <w:p w:rsidR="009E49A0" w:rsidRDefault="009E49A0" w:rsidP="009E49A0">
      <w:pPr>
        <w:spacing w:line="240" w:lineRule="auto"/>
        <w:jc w:val="center"/>
        <w:rPr>
          <w:rFonts w:ascii="Tahoma" w:hAnsi="Tahoma" w:cs="Tahoma"/>
          <w:b/>
          <w:sz w:val="24"/>
          <w:szCs w:val="24"/>
        </w:rPr>
      </w:pPr>
      <w:r>
        <w:rPr>
          <w:rFonts w:ascii="Tahoma" w:hAnsi="Tahoma" w:cs="Tahoma"/>
          <w:b/>
          <w:sz w:val="24"/>
          <w:szCs w:val="24"/>
        </w:rPr>
        <w:t>RESULT</w:t>
      </w:r>
    </w:p>
    <w:p w:rsidR="009E49A0" w:rsidRDefault="009E49A0" w:rsidP="009E49A0">
      <w:pPr>
        <w:spacing w:line="240" w:lineRule="auto"/>
        <w:rPr>
          <w:rFonts w:ascii="Tahoma" w:hAnsi="Tahoma" w:cs="Tahoma"/>
          <w:b/>
          <w:sz w:val="24"/>
          <w:szCs w:val="24"/>
        </w:rPr>
      </w:pPr>
    </w:p>
    <w:p w:rsidR="009E49A0" w:rsidRDefault="009E49A0" w:rsidP="009E49A0">
      <w:pPr>
        <w:spacing w:line="240" w:lineRule="auto"/>
        <w:rPr>
          <w:rFonts w:ascii="Tahoma" w:eastAsia="Times New Roman" w:hAnsi="Tahoma" w:cs="Tahoma"/>
          <w:b/>
          <w:color w:val="000000"/>
          <w:sz w:val="20"/>
          <w:szCs w:val="20"/>
          <w:lang w:eastAsia="en-AU"/>
        </w:rPr>
      </w:pPr>
      <w:r>
        <w:rPr>
          <w:rFonts w:ascii="Tahoma" w:eastAsia="Times New Roman" w:hAnsi="Tahoma" w:cs="Tahoma"/>
          <w:b/>
          <w:color w:val="000000"/>
          <w:sz w:val="20"/>
          <w:szCs w:val="20"/>
          <w:lang w:eastAsia="en-AU"/>
        </w:rPr>
        <w:t>Oil fuel price development in Indonesia</w:t>
      </w:r>
    </w:p>
    <w:p w:rsidR="009E49A0" w:rsidRDefault="009E49A0" w:rsidP="009E49A0">
      <w:pPr>
        <w:spacing w:line="240" w:lineRule="auto"/>
        <w:ind w:firstLine="720"/>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During April 1979 to June 2013, the trend of price of gasoline and diesel show the increase. The price of diesel increased 32.44 % average per year from IDR. 35/</w:t>
      </w:r>
      <w:proofErr w:type="spellStart"/>
      <w:r>
        <w:rPr>
          <w:rFonts w:ascii="Tahoma" w:eastAsia="Times New Roman" w:hAnsi="Tahoma" w:cs="Tahoma"/>
          <w:color w:val="000000"/>
          <w:sz w:val="20"/>
          <w:szCs w:val="20"/>
          <w:lang w:eastAsia="en-AU"/>
        </w:rPr>
        <w:t>litre</w:t>
      </w:r>
      <w:proofErr w:type="spellEnd"/>
      <w:r>
        <w:rPr>
          <w:rFonts w:ascii="Tahoma" w:eastAsia="Times New Roman" w:hAnsi="Tahoma" w:cs="Tahoma"/>
          <w:color w:val="000000"/>
          <w:sz w:val="20"/>
          <w:szCs w:val="20"/>
          <w:lang w:eastAsia="en-AU"/>
        </w:rPr>
        <w:t xml:space="preserve"> in 1979 to become IDR.5</w:t>
      </w:r>
      <w:proofErr w:type="gramStart"/>
      <w:r>
        <w:rPr>
          <w:rFonts w:ascii="Tahoma" w:eastAsia="Times New Roman" w:hAnsi="Tahoma" w:cs="Tahoma"/>
          <w:color w:val="000000"/>
          <w:sz w:val="20"/>
          <w:szCs w:val="20"/>
          <w:lang w:eastAsia="en-AU"/>
        </w:rPr>
        <w:t>,500</w:t>
      </w:r>
      <w:proofErr w:type="gramEnd"/>
      <w:r>
        <w:rPr>
          <w:rFonts w:ascii="Tahoma" w:eastAsia="Times New Roman" w:hAnsi="Tahoma" w:cs="Tahoma"/>
          <w:color w:val="000000"/>
          <w:sz w:val="20"/>
          <w:szCs w:val="20"/>
          <w:lang w:eastAsia="en-AU"/>
        </w:rPr>
        <w:t xml:space="preserve"> /</w:t>
      </w:r>
      <w:proofErr w:type="spellStart"/>
      <w:r>
        <w:rPr>
          <w:rFonts w:ascii="Tahoma" w:eastAsia="Times New Roman" w:hAnsi="Tahoma" w:cs="Tahoma"/>
          <w:color w:val="000000"/>
          <w:sz w:val="20"/>
          <w:szCs w:val="20"/>
          <w:lang w:eastAsia="en-AU"/>
        </w:rPr>
        <w:t>litre</w:t>
      </w:r>
      <w:proofErr w:type="spellEnd"/>
      <w:r>
        <w:rPr>
          <w:rFonts w:ascii="Tahoma" w:eastAsia="Times New Roman" w:hAnsi="Tahoma" w:cs="Tahoma"/>
          <w:color w:val="000000"/>
          <w:sz w:val="20"/>
          <w:szCs w:val="20"/>
          <w:lang w:eastAsia="en-AU"/>
        </w:rPr>
        <w:t xml:space="preserve"> in 2013. Similarly, the price of gasoline increased 26.10 % average per year from IDR. 100/</w:t>
      </w:r>
      <w:proofErr w:type="spellStart"/>
      <w:r>
        <w:rPr>
          <w:rFonts w:ascii="Tahoma" w:eastAsia="Times New Roman" w:hAnsi="Tahoma" w:cs="Tahoma"/>
          <w:color w:val="000000"/>
          <w:sz w:val="20"/>
          <w:szCs w:val="20"/>
          <w:lang w:eastAsia="en-AU"/>
        </w:rPr>
        <w:t>litre</w:t>
      </w:r>
      <w:proofErr w:type="spellEnd"/>
      <w:r>
        <w:rPr>
          <w:rFonts w:ascii="Tahoma" w:eastAsia="Times New Roman" w:hAnsi="Tahoma" w:cs="Tahoma"/>
          <w:color w:val="000000"/>
          <w:sz w:val="20"/>
          <w:szCs w:val="20"/>
          <w:lang w:eastAsia="en-AU"/>
        </w:rPr>
        <w:t xml:space="preserve"> to become IDR.6</w:t>
      </w:r>
      <w:proofErr w:type="gramStart"/>
      <w:r>
        <w:rPr>
          <w:rFonts w:ascii="Tahoma" w:eastAsia="Times New Roman" w:hAnsi="Tahoma" w:cs="Tahoma"/>
          <w:color w:val="000000"/>
          <w:sz w:val="20"/>
          <w:szCs w:val="20"/>
          <w:lang w:eastAsia="en-AU"/>
        </w:rPr>
        <w:t>,500</w:t>
      </w:r>
      <w:proofErr w:type="gramEnd"/>
      <w:r>
        <w:rPr>
          <w:rFonts w:ascii="Tahoma" w:eastAsia="Times New Roman" w:hAnsi="Tahoma" w:cs="Tahoma"/>
          <w:color w:val="000000"/>
          <w:sz w:val="20"/>
          <w:szCs w:val="20"/>
          <w:lang w:eastAsia="en-AU"/>
        </w:rPr>
        <w:t xml:space="preserve"> / </w:t>
      </w:r>
      <w:proofErr w:type="spellStart"/>
      <w:r>
        <w:rPr>
          <w:rFonts w:ascii="Tahoma" w:eastAsia="Times New Roman" w:hAnsi="Tahoma" w:cs="Tahoma"/>
          <w:color w:val="000000"/>
          <w:sz w:val="20"/>
          <w:szCs w:val="20"/>
          <w:lang w:eastAsia="en-AU"/>
        </w:rPr>
        <w:t>litre</w:t>
      </w:r>
      <w:proofErr w:type="spellEnd"/>
      <w:r>
        <w:rPr>
          <w:rFonts w:ascii="Tahoma" w:eastAsia="Times New Roman" w:hAnsi="Tahoma" w:cs="Tahoma"/>
          <w:color w:val="000000"/>
          <w:sz w:val="20"/>
          <w:szCs w:val="20"/>
          <w:lang w:eastAsia="en-AU"/>
        </w:rPr>
        <w:t xml:space="preserve">. </w:t>
      </w:r>
      <w:proofErr w:type="gramStart"/>
      <w:r>
        <w:rPr>
          <w:rFonts w:ascii="Tahoma" w:eastAsia="Times New Roman" w:hAnsi="Tahoma" w:cs="Tahoma"/>
          <w:color w:val="000000"/>
          <w:sz w:val="20"/>
          <w:szCs w:val="20"/>
          <w:lang w:eastAsia="en-AU"/>
        </w:rPr>
        <w:t>Like shown by Figure 1 below.</w:t>
      </w:r>
      <w:proofErr w:type="gramEnd"/>
    </w:p>
    <w:p w:rsidR="009E49A0" w:rsidRDefault="009E49A0" w:rsidP="009E49A0">
      <w:pPr>
        <w:spacing w:line="240" w:lineRule="auto"/>
        <w:rPr>
          <w:rFonts w:ascii="Tahoma" w:eastAsia="Times New Roman" w:hAnsi="Tahoma" w:cs="Tahoma"/>
          <w:b/>
          <w:color w:val="000000"/>
          <w:sz w:val="20"/>
          <w:szCs w:val="20"/>
          <w:lang w:eastAsia="en-AU"/>
        </w:rPr>
      </w:pPr>
    </w:p>
    <w:p w:rsidR="009E49A0" w:rsidRDefault="009E49A0" w:rsidP="009E49A0">
      <w:pPr>
        <w:spacing w:line="240" w:lineRule="auto"/>
        <w:ind w:left="1078" w:hanging="1078"/>
        <w:rPr>
          <w:rFonts w:ascii="Tahoma" w:eastAsia="Times New Roman" w:hAnsi="Tahoma" w:cs="Tahoma"/>
          <w:b/>
          <w:color w:val="000000"/>
          <w:sz w:val="20"/>
          <w:szCs w:val="20"/>
          <w:lang w:eastAsia="en-AU"/>
        </w:rPr>
      </w:pPr>
      <w:proofErr w:type="gramStart"/>
      <w:r>
        <w:rPr>
          <w:rFonts w:ascii="Tahoma" w:eastAsia="Times New Roman" w:hAnsi="Tahoma" w:cs="Tahoma"/>
          <w:b/>
          <w:color w:val="000000"/>
          <w:sz w:val="20"/>
          <w:szCs w:val="20"/>
          <w:lang w:eastAsia="en-AU"/>
        </w:rPr>
        <w:t>Figure 1.</w:t>
      </w:r>
      <w:proofErr w:type="gramEnd"/>
      <w:r>
        <w:rPr>
          <w:rFonts w:ascii="Tahoma" w:eastAsia="Times New Roman" w:hAnsi="Tahoma" w:cs="Tahoma"/>
          <w:b/>
          <w:color w:val="000000"/>
          <w:sz w:val="20"/>
          <w:szCs w:val="20"/>
          <w:lang w:eastAsia="en-AU"/>
        </w:rPr>
        <w:t xml:space="preserve"> The Oil Price Development in Indonesia, 1979 – 2013</w:t>
      </w:r>
    </w:p>
    <w:p w:rsidR="009E49A0" w:rsidRDefault="009E49A0" w:rsidP="009E49A0">
      <w:pPr>
        <w:spacing w:line="240" w:lineRule="auto"/>
        <w:rPr>
          <w:rFonts w:ascii="Tahoma" w:eastAsia="Times New Roman" w:hAnsi="Tahoma" w:cs="Tahoma"/>
          <w:color w:val="000000"/>
          <w:sz w:val="20"/>
          <w:szCs w:val="20"/>
          <w:lang w:eastAsia="en-AU"/>
        </w:rPr>
      </w:pPr>
      <w:r>
        <w:rPr>
          <w:rFonts w:ascii="Tahoma" w:hAnsi="Tahoma" w:cs="Tahoma"/>
          <w:noProof/>
          <w:sz w:val="20"/>
          <w:szCs w:val="20"/>
          <w:lang w:val="id-ID" w:eastAsia="id-ID"/>
        </w:rPr>
        <w:drawing>
          <wp:inline distT="0" distB="0" distL="0" distR="0">
            <wp:extent cx="2672080" cy="16389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l="29250" t="44630" r="18237" b="18719"/>
                    <a:stretch>
                      <a:fillRect/>
                    </a:stretch>
                  </pic:blipFill>
                  <pic:spPr bwMode="auto">
                    <a:xfrm>
                      <a:off x="0" y="0"/>
                      <a:ext cx="2672080" cy="1638935"/>
                    </a:xfrm>
                    <a:prstGeom prst="rect">
                      <a:avLst/>
                    </a:prstGeom>
                    <a:noFill/>
                    <a:ln>
                      <a:noFill/>
                    </a:ln>
                  </pic:spPr>
                </pic:pic>
              </a:graphicData>
            </a:graphic>
          </wp:inline>
        </w:drawing>
      </w:r>
    </w:p>
    <w:p w:rsidR="009E49A0" w:rsidRDefault="009E49A0" w:rsidP="009E49A0">
      <w:pPr>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Sourc</w:t>
      </w:r>
      <w:r>
        <w:rPr>
          <w:rFonts w:ascii="Tahoma" w:eastAsia="Times New Roman" w:hAnsi="Tahoma" w:cs="Tahoma"/>
          <w:sz w:val="20"/>
          <w:szCs w:val="20"/>
          <w:lang w:eastAsia="en-AU"/>
        </w:rPr>
        <w:t xml:space="preserve">e: </w:t>
      </w:r>
      <w:hyperlink r:id="rId8" w:history="1">
        <w:r>
          <w:rPr>
            <w:rStyle w:val="Hyperlink"/>
            <w:rFonts w:ascii="Tahoma" w:eastAsia="Times New Roman" w:hAnsi="Tahoma" w:cs="Tahoma"/>
            <w:sz w:val="20"/>
            <w:szCs w:val="20"/>
            <w:lang w:eastAsia="en-AU"/>
          </w:rPr>
          <w:t>www.BPS.go.id</w:t>
        </w:r>
      </w:hyperlink>
    </w:p>
    <w:p w:rsidR="009E49A0" w:rsidRDefault="009E49A0" w:rsidP="009E49A0">
      <w:pPr>
        <w:spacing w:line="240" w:lineRule="auto"/>
        <w:rPr>
          <w:rFonts w:ascii="Tahoma" w:eastAsia="Times New Roman" w:hAnsi="Tahoma" w:cs="Tahoma"/>
          <w:color w:val="000000"/>
          <w:sz w:val="20"/>
          <w:szCs w:val="20"/>
          <w:lang w:eastAsia="en-AU"/>
        </w:rPr>
      </w:pPr>
    </w:p>
    <w:p w:rsidR="009E49A0" w:rsidRDefault="009E49A0" w:rsidP="009E49A0">
      <w:pPr>
        <w:spacing w:line="240" w:lineRule="auto"/>
        <w:rPr>
          <w:rFonts w:ascii="Tahoma" w:eastAsia="Times New Roman" w:hAnsi="Tahoma" w:cs="Tahoma"/>
          <w:color w:val="000000"/>
          <w:sz w:val="20"/>
          <w:szCs w:val="20"/>
          <w:lang w:eastAsia="en-AU"/>
        </w:rPr>
      </w:pPr>
    </w:p>
    <w:p w:rsidR="009E49A0" w:rsidRDefault="009E49A0" w:rsidP="009E49A0">
      <w:pPr>
        <w:spacing w:line="240" w:lineRule="auto"/>
        <w:rPr>
          <w:rFonts w:ascii="Tahoma" w:eastAsia="Times New Roman" w:hAnsi="Tahoma" w:cs="Tahoma"/>
          <w:color w:val="000000"/>
          <w:sz w:val="20"/>
          <w:szCs w:val="20"/>
          <w:lang w:eastAsia="en-AU"/>
        </w:rPr>
      </w:pPr>
    </w:p>
    <w:p w:rsidR="009E49A0" w:rsidRDefault="009E49A0" w:rsidP="009E49A0">
      <w:pPr>
        <w:autoSpaceDE w:val="0"/>
        <w:autoSpaceDN w:val="0"/>
        <w:adjustRightInd w:val="0"/>
        <w:spacing w:line="240" w:lineRule="auto"/>
        <w:rPr>
          <w:rFonts w:ascii="Tahoma" w:hAnsi="Tahoma" w:cs="Tahoma"/>
          <w:b/>
          <w:sz w:val="20"/>
          <w:szCs w:val="20"/>
        </w:rPr>
      </w:pPr>
    </w:p>
    <w:p w:rsidR="009E49A0" w:rsidRDefault="009E49A0" w:rsidP="009E49A0">
      <w:pPr>
        <w:autoSpaceDE w:val="0"/>
        <w:autoSpaceDN w:val="0"/>
        <w:adjustRightInd w:val="0"/>
        <w:spacing w:line="240" w:lineRule="auto"/>
        <w:rPr>
          <w:rFonts w:ascii="Tahoma" w:hAnsi="Tahoma" w:cs="Tahoma"/>
          <w:b/>
          <w:sz w:val="20"/>
          <w:szCs w:val="20"/>
        </w:rPr>
      </w:pPr>
      <w:r>
        <w:rPr>
          <w:rFonts w:ascii="Tahoma" w:hAnsi="Tahoma" w:cs="Tahoma"/>
          <w:b/>
          <w:sz w:val="20"/>
          <w:szCs w:val="20"/>
        </w:rPr>
        <w:lastRenderedPageBreak/>
        <w:t>Inflation rate development in Indonesia</w:t>
      </w:r>
    </w:p>
    <w:p w:rsidR="009E49A0" w:rsidRDefault="009E49A0" w:rsidP="009E49A0">
      <w:pPr>
        <w:autoSpaceDE w:val="0"/>
        <w:autoSpaceDN w:val="0"/>
        <w:adjustRightInd w:val="0"/>
        <w:spacing w:line="240" w:lineRule="auto"/>
        <w:rPr>
          <w:rFonts w:ascii="Tahoma" w:hAnsi="Tahoma" w:cs="Tahoma"/>
          <w:b/>
          <w:sz w:val="20"/>
          <w:szCs w:val="20"/>
        </w:rPr>
      </w:pPr>
      <w:r>
        <w:rPr>
          <w:rFonts w:ascii="Tahoma" w:hAnsi="Tahoma" w:cs="Tahoma"/>
          <w:b/>
          <w:sz w:val="20"/>
          <w:szCs w:val="20"/>
        </w:rPr>
        <w:t xml:space="preserve"> </w:t>
      </w: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Inflation is the rate of increase in prices over a given period of time. Inflation is typically a broad measure, such as the overall increase in prices or the increase in the cost of living in a country. But it can also be more narrowly calculated—for certain goods, such as food, or for services. Inflation represents how much more expensive the relevant set of goods and/or services has become over a certain period, most commonly a year. </w:t>
      </w: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The inflation rate is measured by using the </w:t>
      </w:r>
      <w:r>
        <w:rPr>
          <w:rFonts w:ascii="Tahoma" w:hAnsi="Tahoma" w:cs="Tahoma"/>
          <w:iCs/>
          <w:sz w:val="20"/>
          <w:szCs w:val="20"/>
        </w:rPr>
        <w:t xml:space="preserve">consumer price index </w:t>
      </w:r>
      <w:r>
        <w:rPr>
          <w:rFonts w:ascii="Tahoma" w:hAnsi="Tahoma" w:cs="Tahoma"/>
          <w:sz w:val="20"/>
          <w:szCs w:val="20"/>
        </w:rPr>
        <w:t xml:space="preserve">(CPI). CPI is the average consumer’s cost living. To measure the average consumer’s cost of living, government agencies conduct household surveys to identify a basket of commonly purchased items and track over time the cost of purchasing this basket (food stuff, processed food, housing expenses, including rent and mortgages, clothing, health, education recreation and sports, transportation and communication constitute the largest component of the consumer basket in Indonesia.) The cost of this basket at a given time expressed relative to a base year is the </w:t>
      </w:r>
      <w:r>
        <w:rPr>
          <w:rFonts w:ascii="Tahoma" w:hAnsi="Tahoma" w:cs="Tahoma"/>
          <w:iCs/>
          <w:sz w:val="20"/>
          <w:szCs w:val="20"/>
        </w:rPr>
        <w:t xml:space="preserve">consumer price index </w:t>
      </w:r>
      <w:r>
        <w:rPr>
          <w:rFonts w:ascii="Tahoma" w:hAnsi="Tahoma" w:cs="Tahoma"/>
          <w:sz w:val="20"/>
          <w:szCs w:val="20"/>
        </w:rPr>
        <w:t xml:space="preserve">(CPI), and the percentage change in the CPI over a certain period is </w:t>
      </w:r>
      <w:r>
        <w:rPr>
          <w:rFonts w:ascii="Tahoma" w:hAnsi="Tahoma" w:cs="Tahoma"/>
          <w:iCs/>
          <w:sz w:val="20"/>
          <w:szCs w:val="20"/>
        </w:rPr>
        <w:t>consumer price inflation</w:t>
      </w:r>
      <w:r>
        <w:rPr>
          <w:rFonts w:ascii="Tahoma" w:hAnsi="Tahoma" w:cs="Tahoma"/>
          <w:sz w:val="20"/>
          <w:szCs w:val="20"/>
        </w:rPr>
        <w:t>, the most widely used measure of inflation. (For example, if the base year CPI is 100 and the current CPI is 110, inflation is 10 percent over the period) (Basic</w:t>
      </w:r>
      <w:proofErr w:type="gramStart"/>
      <w:r>
        <w:rPr>
          <w:rFonts w:ascii="Tahoma" w:hAnsi="Tahoma" w:cs="Tahoma"/>
          <w:sz w:val="20"/>
          <w:szCs w:val="20"/>
        </w:rPr>
        <w:t>,2016</w:t>
      </w:r>
      <w:proofErr w:type="gramEnd"/>
      <w:r>
        <w:rPr>
          <w:rFonts w:ascii="Tahoma" w:hAnsi="Tahoma" w:cs="Tahoma"/>
          <w:sz w:val="20"/>
          <w:szCs w:val="20"/>
        </w:rPr>
        <w:t xml:space="preserve">). </w:t>
      </w: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The inflation rate development in Indonesia can be shown by Figure 2. In April 1979 to January 1984, the monthly inflation </w:t>
      </w:r>
      <w:proofErr w:type="gramStart"/>
      <w:r>
        <w:rPr>
          <w:rFonts w:ascii="Tahoma" w:hAnsi="Tahoma" w:cs="Tahoma"/>
          <w:sz w:val="20"/>
          <w:szCs w:val="20"/>
        </w:rPr>
        <w:t>rate were</w:t>
      </w:r>
      <w:proofErr w:type="gramEnd"/>
      <w:r>
        <w:rPr>
          <w:rFonts w:ascii="Tahoma" w:hAnsi="Tahoma" w:cs="Tahoma"/>
          <w:sz w:val="20"/>
          <w:szCs w:val="20"/>
        </w:rPr>
        <w:t xml:space="preserve"> over 3 %. The </w:t>
      </w:r>
      <w:proofErr w:type="gramStart"/>
      <w:r>
        <w:rPr>
          <w:rFonts w:ascii="Tahoma" w:hAnsi="Tahoma" w:cs="Tahoma"/>
          <w:sz w:val="20"/>
          <w:szCs w:val="20"/>
        </w:rPr>
        <w:t>trend tend</w:t>
      </w:r>
      <w:proofErr w:type="gramEnd"/>
      <w:r>
        <w:rPr>
          <w:rFonts w:ascii="Tahoma" w:hAnsi="Tahoma" w:cs="Tahoma"/>
          <w:sz w:val="20"/>
          <w:szCs w:val="20"/>
        </w:rPr>
        <w:t xml:space="preserve"> to declined, except in May 1998 and October 2005, it reached its peak on 8.7 %. Based on, yearly inflation, the inflation rate in 1998 had been the highest inflation rate ever in Indonesia. </w:t>
      </w:r>
    </w:p>
    <w:p w:rsidR="009E49A0" w:rsidRDefault="009E49A0" w:rsidP="009E49A0">
      <w:pPr>
        <w:autoSpaceDE w:val="0"/>
        <w:autoSpaceDN w:val="0"/>
        <w:adjustRightInd w:val="0"/>
        <w:spacing w:line="240" w:lineRule="auto"/>
        <w:rPr>
          <w:rFonts w:ascii="Tahoma" w:hAnsi="Tahoma" w:cs="Tahoma"/>
          <w:b/>
          <w:sz w:val="20"/>
          <w:szCs w:val="20"/>
        </w:rPr>
      </w:pPr>
    </w:p>
    <w:p w:rsidR="009E49A0" w:rsidRDefault="009E49A0" w:rsidP="009E49A0">
      <w:pPr>
        <w:autoSpaceDE w:val="0"/>
        <w:autoSpaceDN w:val="0"/>
        <w:adjustRightInd w:val="0"/>
        <w:spacing w:line="240" w:lineRule="auto"/>
        <w:ind w:left="1134" w:hanging="1134"/>
        <w:rPr>
          <w:rFonts w:ascii="Tahoma" w:hAnsi="Tahoma" w:cs="Tahoma"/>
          <w:b/>
          <w:sz w:val="20"/>
          <w:szCs w:val="20"/>
        </w:rPr>
      </w:pPr>
      <w:proofErr w:type="gramStart"/>
      <w:r>
        <w:rPr>
          <w:rFonts w:ascii="Tahoma" w:hAnsi="Tahoma" w:cs="Tahoma"/>
          <w:b/>
          <w:sz w:val="20"/>
          <w:szCs w:val="20"/>
        </w:rPr>
        <w:t>Figure 2.</w:t>
      </w:r>
      <w:proofErr w:type="gramEnd"/>
      <w:r>
        <w:rPr>
          <w:rFonts w:ascii="Tahoma" w:hAnsi="Tahoma" w:cs="Tahoma"/>
          <w:sz w:val="20"/>
          <w:szCs w:val="20"/>
        </w:rPr>
        <w:t xml:space="preserve"> </w:t>
      </w:r>
      <w:r>
        <w:rPr>
          <w:rFonts w:ascii="Tahoma" w:hAnsi="Tahoma" w:cs="Tahoma"/>
          <w:b/>
          <w:sz w:val="20"/>
          <w:szCs w:val="20"/>
        </w:rPr>
        <w:t>Inflation rate development in Indonesia, 1979-2013</w:t>
      </w:r>
    </w:p>
    <w:p w:rsidR="009E49A0" w:rsidRDefault="009E49A0" w:rsidP="009E49A0">
      <w:pPr>
        <w:autoSpaceDE w:val="0"/>
        <w:autoSpaceDN w:val="0"/>
        <w:adjustRightInd w:val="0"/>
        <w:spacing w:line="240" w:lineRule="auto"/>
        <w:ind w:left="1134" w:hanging="1134"/>
        <w:rPr>
          <w:rFonts w:ascii="Tahoma" w:hAnsi="Tahoma" w:cs="Tahoma"/>
          <w:b/>
          <w:sz w:val="20"/>
          <w:szCs w:val="20"/>
        </w:rPr>
      </w:pPr>
    </w:p>
    <w:p w:rsidR="009E49A0" w:rsidRDefault="009E49A0" w:rsidP="009E49A0">
      <w:pPr>
        <w:autoSpaceDE w:val="0"/>
        <w:autoSpaceDN w:val="0"/>
        <w:adjustRightInd w:val="0"/>
        <w:spacing w:line="240" w:lineRule="auto"/>
        <w:ind w:left="1134" w:hanging="1134"/>
        <w:jc w:val="center"/>
        <w:rPr>
          <w:rFonts w:ascii="Tahoma" w:hAnsi="Tahoma" w:cs="Tahoma"/>
          <w:sz w:val="20"/>
          <w:szCs w:val="20"/>
        </w:rPr>
      </w:pPr>
      <w:r>
        <w:rPr>
          <w:rFonts w:ascii="Tahoma" w:hAnsi="Tahoma" w:cs="Tahoma"/>
          <w:noProof/>
          <w:sz w:val="20"/>
          <w:szCs w:val="20"/>
          <w:lang w:val="id-ID" w:eastAsia="id-ID"/>
        </w:rPr>
        <w:drawing>
          <wp:inline distT="0" distB="0" distL="0" distR="0">
            <wp:extent cx="2624455" cy="166243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l="37225" t="51428" r="34856" b="17242"/>
                    <a:stretch>
                      <a:fillRect/>
                    </a:stretch>
                  </pic:blipFill>
                  <pic:spPr bwMode="auto">
                    <a:xfrm>
                      <a:off x="0" y="0"/>
                      <a:ext cx="2624455" cy="1662430"/>
                    </a:xfrm>
                    <a:prstGeom prst="rect">
                      <a:avLst/>
                    </a:prstGeom>
                    <a:noFill/>
                    <a:ln>
                      <a:noFill/>
                    </a:ln>
                  </pic:spPr>
                </pic:pic>
              </a:graphicData>
            </a:graphic>
          </wp:inline>
        </w:drawing>
      </w:r>
    </w:p>
    <w:p w:rsidR="009E49A0" w:rsidRDefault="009E49A0" w:rsidP="009E49A0">
      <w:pPr>
        <w:autoSpaceDE w:val="0"/>
        <w:autoSpaceDN w:val="0"/>
        <w:adjustRightInd w:val="0"/>
        <w:spacing w:line="240" w:lineRule="auto"/>
        <w:ind w:left="1134" w:hanging="1134"/>
        <w:jc w:val="center"/>
        <w:rPr>
          <w:rFonts w:ascii="Tahoma" w:hAnsi="Tahoma" w:cs="Tahoma"/>
          <w:sz w:val="20"/>
          <w:szCs w:val="20"/>
        </w:rPr>
      </w:pPr>
      <w:r>
        <w:rPr>
          <w:rFonts w:ascii="Tahoma" w:hAnsi="Tahoma" w:cs="Tahoma"/>
          <w:sz w:val="20"/>
          <w:szCs w:val="20"/>
        </w:rPr>
        <w:t xml:space="preserve">Source: </w:t>
      </w:r>
      <w:hyperlink r:id="rId10" w:history="1">
        <w:r>
          <w:rPr>
            <w:rStyle w:val="Hyperlink"/>
            <w:rFonts w:ascii="Tahoma" w:hAnsi="Tahoma" w:cs="Tahoma"/>
            <w:sz w:val="20"/>
            <w:szCs w:val="20"/>
          </w:rPr>
          <w:t>www.BPS.go.id</w:t>
        </w:r>
      </w:hyperlink>
    </w:p>
    <w:p w:rsidR="009E49A0" w:rsidRDefault="009E49A0" w:rsidP="009E49A0">
      <w:pPr>
        <w:autoSpaceDE w:val="0"/>
        <w:autoSpaceDN w:val="0"/>
        <w:adjustRightInd w:val="0"/>
        <w:spacing w:line="240" w:lineRule="auto"/>
        <w:rPr>
          <w:rFonts w:ascii="Tahoma" w:eastAsia="Times New Roman" w:hAnsi="Tahoma" w:cs="Tahoma"/>
          <w:b/>
          <w:color w:val="000000"/>
          <w:sz w:val="20"/>
          <w:szCs w:val="20"/>
          <w:lang w:eastAsia="en-AU"/>
        </w:rPr>
      </w:pPr>
      <w:r>
        <w:rPr>
          <w:rFonts w:ascii="Tahoma" w:eastAsia="Times New Roman" w:hAnsi="Tahoma" w:cs="Tahoma"/>
          <w:b/>
          <w:color w:val="000000"/>
          <w:sz w:val="20"/>
          <w:szCs w:val="20"/>
          <w:lang w:eastAsia="en-AU"/>
        </w:rPr>
        <w:lastRenderedPageBreak/>
        <w:t>The correlation between oil fuel price change and food inflation rate in Indonesia</w:t>
      </w:r>
    </w:p>
    <w:p w:rsidR="009E49A0" w:rsidRDefault="009E49A0" w:rsidP="009E49A0">
      <w:pPr>
        <w:autoSpaceDE w:val="0"/>
        <w:autoSpaceDN w:val="0"/>
        <w:adjustRightInd w:val="0"/>
        <w:spacing w:line="240" w:lineRule="auto"/>
        <w:rPr>
          <w:rFonts w:ascii="Tahoma" w:eastAsia="Times New Roman" w:hAnsi="Tahoma" w:cs="Tahoma"/>
          <w:b/>
          <w:color w:val="000000"/>
          <w:sz w:val="20"/>
          <w:szCs w:val="20"/>
          <w:lang w:eastAsia="en-AU"/>
        </w:rPr>
      </w:pPr>
    </w:p>
    <w:p w:rsidR="009E49A0" w:rsidRDefault="009E49A0" w:rsidP="009E49A0">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During the period 1979 to 2013 the inflation </w:t>
      </w:r>
      <w:proofErr w:type="gramStart"/>
      <w:r>
        <w:rPr>
          <w:rFonts w:ascii="Tahoma" w:hAnsi="Tahoma" w:cs="Tahoma"/>
          <w:sz w:val="20"/>
          <w:szCs w:val="20"/>
        </w:rPr>
        <w:t>rate in Indonesia tend</w:t>
      </w:r>
      <w:proofErr w:type="gramEnd"/>
      <w:r>
        <w:rPr>
          <w:rFonts w:ascii="Tahoma" w:hAnsi="Tahoma" w:cs="Tahoma"/>
          <w:sz w:val="20"/>
          <w:szCs w:val="20"/>
        </w:rPr>
        <w:t xml:space="preserve"> to be decreased. It seems </w:t>
      </w:r>
      <w:proofErr w:type="gramStart"/>
      <w:r>
        <w:rPr>
          <w:rFonts w:ascii="Tahoma" w:hAnsi="Tahoma" w:cs="Tahoma"/>
          <w:sz w:val="20"/>
          <w:szCs w:val="20"/>
        </w:rPr>
        <w:t>correlate</w:t>
      </w:r>
      <w:proofErr w:type="gramEnd"/>
      <w:r>
        <w:rPr>
          <w:rFonts w:ascii="Tahoma" w:hAnsi="Tahoma" w:cs="Tahoma"/>
          <w:sz w:val="20"/>
          <w:szCs w:val="20"/>
        </w:rPr>
        <w:t xml:space="preserve"> to fuel price (diesel and gasoline). However, inflation rate rise to point 3.2 % in 1979 when government rise the fuel price, however the inflation rate only increase 1.03 % in 2013 at the same regulation. The inflation rate relative to fuel price can be shown from Figure 3 below.</w:t>
      </w:r>
    </w:p>
    <w:p w:rsidR="009E49A0" w:rsidRDefault="009E49A0" w:rsidP="009E49A0">
      <w:pPr>
        <w:autoSpaceDE w:val="0"/>
        <w:autoSpaceDN w:val="0"/>
        <w:adjustRightInd w:val="0"/>
        <w:spacing w:line="240" w:lineRule="auto"/>
        <w:ind w:firstLine="720"/>
        <w:rPr>
          <w:rFonts w:ascii="Tahoma" w:hAnsi="Tahoma" w:cs="Tahoma"/>
          <w:sz w:val="20"/>
          <w:szCs w:val="20"/>
        </w:rPr>
      </w:pPr>
    </w:p>
    <w:p w:rsidR="009E49A0" w:rsidRDefault="009E49A0" w:rsidP="009E49A0">
      <w:pPr>
        <w:spacing w:line="240" w:lineRule="auto"/>
        <w:ind w:left="966" w:hanging="966"/>
        <w:rPr>
          <w:rFonts w:ascii="Tahoma" w:eastAsia="Times New Roman" w:hAnsi="Tahoma" w:cs="Tahoma"/>
          <w:b/>
          <w:color w:val="000000"/>
          <w:sz w:val="20"/>
          <w:szCs w:val="20"/>
          <w:lang w:eastAsia="en-AU"/>
        </w:rPr>
      </w:pPr>
      <w:proofErr w:type="gramStart"/>
      <w:r>
        <w:rPr>
          <w:rFonts w:ascii="Tahoma" w:eastAsia="Times New Roman" w:hAnsi="Tahoma" w:cs="Tahoma"/>
          <w:b/>
          <w:color w:val="000000"/>
          <w:sz w:val="20"/>
          <w:szCs w:val="20"/>
          <w:lang w:eastAsia="en-AU"/>
        </w:rPr>
        <w:t>Figure 3.</w:t>
      </w:r>
      <w:proofErr w:type="gramEnd"/>
      <w:r>
        <w:rPr>
          <w:rFonts w:ascii="Tahoma" w:eastAsia="Times New Roman" w:hAnsi="Tahoma" w:cs="Tahoma"/>
          <w:b/>
          <w:color w:val="000000"/>
          <w:sz w:val="20"/>
          <w:szCs w:val="20"/>
          <w:lang w:eastAsia="en-AU"/>
        </w:rPr>
        <w:tab/>
        <w:t>The Oil Price Development and food inflation rate in Indonesia in Indonesia, 1979 – 2013.</w:t>
      </w:r>
    </w:p>
    <w:p w:rsidR="009E49A0" w:rsidRDefault="009E49A0" w:rsidP="009E49A0">
      <w:pPr>
        <w:autoSpaceDE w:val="0"/>
        <w:autoSpaceDN w:val="0"/>
        <w:adjustRightInd w:val="0"/>
        <w:spacing w:line="240" w:lineRule="auto"/>
        <w:ind w:left="-284" w:firstLine="142"/>
        <w:rPr>
          <w:rFonts w:ascii="Tahoma" w:hAnsi="Tahoma" w:cs="Tahoma"/>
          <w:noProof/>
          <w:sz w:val="20"/>
          <w:szCs w:val="20"/>
        </w:rPr>
      </w:pPr>
      <w:r>
        <w:rPr>
          <w:rFonts w:ascii="Tahoma" w:hAnsi="Tahoma" w:cs="Tahoma"/>
          <w:noProof/>
          <w:sz w:val="20"/>
          <w:szCs w:val="20"/>
          <w:lang w:val="id-ID" w:eastAsia="id-ID"/>
        </w:rPr>
        <w:drawing>
          <wp:inline distT="0" distB="0" distL="0" distR="0">
            <wp:extent cx="2849880" cy="166243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l="29083" t="40492" r="17239" b="17833"/>
                    <a:stretch>
                      <a:fillRect/>
                    </a:stretch>
                  </pic:blipFill>
                  <pic:spPr bwMode="auto">
                    <a:xfrm>
                      <a:off x="0" y="0"/>
                      <a:ext cx="2849880" cy="1662430"/>
                    </a:xfrm>
                    <a:prstGeom prst="rect">
                      <a:avLst/>
                    </a:prstGeom>
                    <a:noFill/>
                    <a:ln>
                      <a:noFill/>
                    </a:ln>
                  </pic:spPr>
                </pic:pic>
              </a:graphicData>
            </a:graphic>
          </wp:inline>
        </w:drawing>
      </w:r>
    </w:p>
    <w:p w:rsidR="009E49A0" w:rsidRDefault="009E49A0" w:rsidP="009E49A0">
      <w:pPr>
        <w:autoSpaceDE w:val="0"/>
        <w:autoSpaceDN w:val="0"/>
        <w:adjustRightInd w:val="0"/>
        <w:spacing w:line="240" w:lineRule="auto"/>
        <w:ind w:left="-284" w:firstLine="142"/>
        <w:rPr>
          <w:rFonts w:ascii="Tahoma" w:hAnsi="Tahoma" w:cs="Tahoma"/>
          <w:noProof/>
          <w:sz w:val="20"/>
          <w:szCs w:val="20"/>
        </w:rPr>
      </w:pPr>
    </w:p>
    <w:p w:rsidR="009E49A0" w:rsidRDefault="009E49A0" w:rsidP="009E49A0">
      <w:pPr>
        <w:autoSpaceDE w:val="0"/>
        <w:autoSpaceDN w:val="0"/>
        <w:adjustRightInd w:val="0"/>
        <w:spacing w:line="240" w:lineRule="auto"/>
        <w:ind w:left="-284" w:firstLine="284"/>
        <w:jc w:val="center"/>
        <w:rPr>
          <w:rFonts w:ascii="Tahoma" w:eastAsia="Times New Roman" w:hAnsi="Tahoma" w:cs="Tahoma"/>
          <w:sz w:val="20"/>
          <w:szCs w:val="20"/>
          <w:lang w:eastAsia="en-AU"/>
        </w:rPr>
      </w:pPr>
      <w:r>
        <w:rPr>
          <w:rFonts w:ascii="Tahoma" w:eastAsia="Times New Roman" w:hAnsi="Tahoma" w:cs="Tahoma"/>
          <w:color w:val="000000"/>
          <w:sz w:val="20"/>
          <w:szCs w:val="20"/>
          <w:lang w:eastAsia="en-AU"/>
        </w:rPr>
        <w:t>Source</w:t>
      </w:r>
      <w:r>
        <w:rPr>
          <w:rFonts w:ascii="Tahoma" w:eastAsia="Times New Roman" w:hAnsi="Tahoma" w:cs="Tahoma"/>
          <w:sz w:val="20"/>
          <w:szCs w:val="20"/>
          <w:lang w:eastAsia="en-AU"/>
        </w:rPr>
        <w:t xml:space="preserve">: </w:t>
      </w:r>
      <w:hyperlink r:id="rId12" w:history="1">
        <w:r>
          <w:rPr>
            <w:rStyle w:val="Hyperlink"/>
            <w:rFonts w:ascii="Tahoma" w:eastAsia="Times New Roman" w:hAnsi="Tahoma" w:cs="Tahoma"/>
            <w:sz w:val="20"/>
            <w:szCs w:val="20"/>
            <w:lang w:eastAsia="en-AU"/>
          </w:rPr>
          <w:t>www.BPS.go.id</w:t>
        </w:r>
      </w:hyperlink>
    </w:p>
    <w:p w:rsidR="009E49A0" w:rsidRDefault="009E49A0" w:rsidP="009E49A0">
      <w:pPr>
        <w:autoSpaceDE w:val="0"/>
        <w:autoSpaceDN w:val="0"/>
        <w:adjustRightInd w:val="0"/>
        <w:spacing w:line="240" w:lineRule="auto"/>
        <w:ind w:left="-284" w:firstLine="284"/>
        <w:rPr>
          <w:rFonts w:ascii="Tahoma" w:hAnsi="Tahoma" w:cs="Tahoma"/>
          <w:sz w:val="20"/>
          <w:szCs w:val="20"/>
        </w:rPr>
      </w:pPr>
    </w:p>
    <w:p w:rsidR="009E49A0" w:rsidRDefault="009E49A0" w:rsidP="009E49A0">
      <w:pPr>
        <w:autoSpaceDE w:val="0"/>
        <w:autoSpaceDN w:val="0"/>
        <w:adjustRightInd w:val="0"/>
        <w:spacing w:line="240" w:lineRule="auto"/>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 xml:space="preserve">As shown by Figure 2, the inflation </w:t>
      </w:r>
      <w:proofErr w:type="gramStart"/>
      <w:r>
        <w:rPr>
          <w:rFonts w:ascii="Tahoma" w:eastAsia="Times New Roman" w:hAnsi="Tahoma" w:cs="Tahoma"/>
          <w:color w:val="000000"/>
          <w:sz w:val="20"/>
          <w:szCs w:val="20"/>
          <w:lang w:eastAsia="en-AU"/>
        </w:rPr>
        <w:t>rate in Indonesia tend</w:t>
      </w:r>
      <w:proofErr w:type="gramEnd"/>
      <w:r>
        <w:rPr>
          <w:rFonts w:ascii="Tahoma" w:eastAsia="Times New Roman" w:hAnsi="Tahoma" w:cs="Tahoma"/>
          <w:color w:val="000000"/>
          <w:sz w:val="20"/>
          <w:szCs w:val="20"/>
          <w:lang w:eastAsia="en-AU"/>
        </w:rPr>
        <w:t xml:space="preserve"> to be fluctuated with the trend that is almost same with fuel price trend. </w:t>
      </w:r>
    </w:p>
    <w:p w:rsidR="009E49A0" w:rsidRDefault="009E49A0" w:rsidP="009E49A0">
      <w:pPr>
        <w:autoSpaceDE w:val="0"/>
        <w:autoSpaceDN w:val="0"/>
        <w:adjustRightInd w:val="0"/>
        <w:spacing w:line="240" w:lineRule="auto"/>
        <w:rPr>
          <w:rFonts w:ascii="Tahoma" w:eastAsia="Times New Roman" w:hAnsi="Tahoma" w:cs="Tahoma"/>
          <w:color w:val="000000"/>
          <w:sz w:val="20"/>
          <w:szCs w:val="20"/>
          <w:lang w:eastAsia="en-AU"/>
        </w:rPr>
      </w:pPr>
    </w:p>
    <w:p w:rsidR="009E49A0" w:rsidRDefault="009E49A0" w:rsidP="009E49A0">
      <w:pPr>
        <w:autoSpaceDE w:val="0"/>
        <w:autoSpaceDN w:val="0"/>
        <w:adjustRightInd w:val="0"/>
        <w:spacing w:line="240" w:lineRule="auto"/>
        <w:ind w:left="993" w:hanging="993"/>
        <w:rPr>
          <w:rFonts w:ascii="Tahoma" w:eastAsia="Times New Roman" w:hAnsi="Tahoma" w:cs="Tahoma"/>
          <w:b/>
          <w:color w:val="000000"/>
          <w:sz w:val="20"/>
          <w:szCs w:val="20"/>
          <w:lang w:eastAsia="en-AU"/>
        </w:rPr>
      </w:pPr>
      <w:proofErr w:type="gramStart"/>
      <w:r>
        <w:rPr>
          <w:rFonts w:ascii="Tahoma" w:eastAsia="Times New Roman" w:hAnsi="Tahoma" w:cs="Tahoma"/>
          <w:b/>
          <w:color w:val="000000"/>
          <w:sz w:val="20"/>
          <w:szCs w:val="20"/>
          <w:lang w:eastAsia="en-AU"/>
        </w:rPr>
        <w:t>Table 1.</w:t>
      </w:r>
      <w:proofErr w:type="gramEnd"/>
      <w:r>
        <w:rPr>
          <w:rFonts w:ascii="Tahoma" w:eastAsia="Times New Roman" w:hAnsi="Tahoma" w:cs="Tahoma"/>
          <w:b/>
          <w:color w:val="000000"/>
          <w:sz w:val="20"/>
          <w:szCs w:val="20"/>
          <w:lang w:eastAsia="en-AU"/>
        </w:rPr>
        <w:t xml:space="preserve"> The Oil Fuel Price Change and Food Inflation</w:t>
      </w:r>
    </w:p>
    <w:p w:rsidR="009E49A0" w:rsidRDefault="009E49A0" w:rsidP="009E49A0">
      <w:pPr>
        <w:autoSpaceDE w:val="0"/>
        <w:autoSpaceDN w:val="0"/>
        <w:adjustRightInd w:val="0"/>
        <w:spacing w:line="240" w:lineRule="auto"/>
        <w:ind w:left="993" w:hanging="993"/>
        <w:rPr>
          <w:rFonts w:ascii="Tahoma" w:eastAsia="Times New Roman" w:hAnsi="Tahoma" w:cs="Tahoma"/>
          <w:b/>
          <w:color w:val="000000"/>
          <w:sz w:val="20"/>
          <w:szCs w:val="20"/>
          <w:lang w:eastAsia="en-AU"/>
        </w:rPr>
      </w:pPr>
    </w:p>
    <w:tbl>
      <w:tblPr>
        <w:tblW w:w="4614" w:type="pct"/>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1728"/>
        <w:gridCol w:w="1153"/>
      </w:tblGrid>
      <w:tr w:rsidR="009E49A0" w:rsidTr="009E49A0">
        <w:trPr>
          <w:trHeight w:val="558"/>
        </w:trPr>
        <w:tc>
          <w:tcPr>
            <w:tcW w:w="1392"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Month/Year</w:t>
            </w:r>
          </w:p>
        </w:tc>
        <w:tc>
          <w:tcPr>
            <w:tcW w:w="2153"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Oil Fuel Changed Price (%)</w:t>
            </w:r>
          </w:p>
        </w:tc>
        <w:tc>
          <w:tcPr>
            <w:tcW w:w="1455"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Food inflation (%)</w:t>
            </w:r>
          </w:p>
        </w:tc>
      </w:tr>
      <w:tr w:rsidR="009E49A0" w:rsidTr="009E49A0">
        <w:trPr>
          <w:trHeight w:val="186"/>
        </w:trPr>
        <w:tc>
          <w:tcPr>
            <w:tcW w:w="1392"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May 2008</w:t>
            </w:r>
          </w:p>
        </w:tc>
        <w:tc>
          <w:tcPr>
            <w:tcW w:w="2153"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30.68</w:t>
            </w:r>
          </w:p>
        </w:tc>
        <w:tc>
          <w:tcPr>
            <w:tcW w:w="1455"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1.17</w:t>
            </w:r>
          </w:p>
        </w:tc>
      </w:tr>
      <w:tr w:rsidR="009E49A0" w:rsidTr="009E49A0">
        <w:trPr>
          <w:trHeight w:val="355"/>
        </w:trPr>
        <w:tc>
          <w:tcPr>
            <w:tcW w:w="1392"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January 2009</w:t>
            </w:r>
          </w:p>
        </w:tc>
        <w:tc>
          <w:tcPr>
            <w:tcW w:w="2153"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-21.74</w:t>
            </w:r>
          </w:p>
        </w:tc>
        <w:tc>
          <w:tcPr>
            <w:tcW w:w="1455"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-2.05</w:t>
            </w:r>
          </w:p>
        </w:tc>
      </w:tr>
      <w:tr w:rsidR="009E49A0" w:rsidTr="009E49A0">
        <w:trPr>
          <w:trHeight w:val="203"/>
        </w:trPr>
        <w:tc>
          <w:tcPr>
            <w:tcW w:w="1392"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June 2013</w:t>
            </w:r>
          </w:p>
        </w:tc>
        <w:tc>
          <w:tcPr>
            <w:tcW w:w="2153"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33.33</w:t>
            </w:r>
          </w:p>
        </w:tc>
        <w:tc>
          <w:tcPr>
            <w:tcW w:w="1455" w:type="pct"/>
            <w:tcBorders>
              <w:top w:val="single" w:sz="4" w:space="0" w:color="000000"/>
              <w:left w:val="single" w:sz="4" w:space="0" w:color="000000"/>
              <w:bottom w:val="single" w:sz="4" w:space="0" w:color="000000"/>
              <w:right w:val="single" w:sz="4" w:space="0" w:color="000000"/>
            </w:tcBorders>
            <w:hideMark/>
          </w:tcPr>
          <w:p w:rsidR="009E49A0" w:rsidRDefault="009E49A0">
            <w:pPr>
              <w:tabs>
                <w:tab w:val="center" w:pos="4680"/>
                <w:tab w:val="right" w:pos="9360"/>
              </w:tabs>
              <w:autoSpaceDE w:val="0"/>
              <w:autoSpaceDN w:val="0"/>
              <w:adjustRightInd w:val="0"/>
              <w:spacing w:line="240" w:lineRule="auto"/>
              <w:jc w:val="center"/>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2.0</w:t>
            </w:r>
          </w:p>
        </w:tc>
      </w:tr>
    </w:tbl>
    <w:p w:rsidR="009E49A0" w:rsidRDefault="009E49A0" w:rsidP="009E49A0">
      <w:pPr>
        <w:autoSpaceDE w:val="0"/>
        <w:autoSpaceDN w:val="0"/>
        <w:adjustRightInd w:val="0"/>
        <w:spacing w:line="240" w:lineRule="auto"/>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 xml:space="preserve">Source: </w:t>
      </w:r>
      <w:hyperlink r:id="rId13" w:history="1">
        <w:r>
          <w:rPr>
            <w:rStyle w:val="Hyperlink"/>
            <w:rFonts w:ascii="Tahoma" w:eastAsia="Times New Roman" w:hAnsi="Tahoma" w:cs="Tahoma"/>
            <w:sz w:val="20"/>
            <w:szCs w:val="20"/>
            <w:lang w:eastAsia="en-AU"/>
          </w:rPr>
          <w:t>www.BPS.go.id</w:t>
        </w:r>
      </w:hyperlink>
    </w:p>
    <w:p w:rsidR="009E49A0" w:rsidRDefault="009E49A0" w:rsidP="009E49A0">
      <w:pPr>
        <w:autoSpaceDE w:val="0"/>
        <w:autoSpaceDN w:val="0"/>
        <w:adjustRightInd w:val="0"/>
        <w:spacing w:line="240" w:lineRule="auto"/>
        <w:rPr>
          <w:rFonts w:ascii="Tahoma" w:eastAsia="Times New Roman" w:hAnsi="Tahoma" w:cs="Tahoma"/>
          <w:color w:val="000000"/>
          <w:sz w:val="20"/>
          <w:szCs w:val="20"/>
          <w:lang w:eastAsia="en-AU"/>
        </w:rPr>
      </w:pPr>
    </w:p>
    <w:p w:rsidR="009E49A0" w:rsidRDefault="009E49A0" w:rsidP="009E49A0">
      <w:pPr>
        <w:autoSpaceDE w:val="0"/>
        <w:autoSpaceDN w:val="0"/>
        <w:adjustRightInd w:val="0"/>
        <w:spacing w:line="240" w:lineRule="auto"/>
        <w:rPr>
          <w:rFonts w:ascii="Tahoma" w:eastAsia="Times New Roman" w:hAnsi="Tahoma" w:cs="Tahoma"/>
          <w:b/>
          <w:color w:val="000000"/>
          <w:sz w:val="20"/>
          <w:szCs w:val="20"/>
          <w:lang w:eastAsia="en-AU"/>
        </w:rPr>
      </w:pPr>
      <w:r>
        <w:rPr>
          <w:rFonts w:ascii="Tahoma" w:eastAsia="Times New Roman" w:hAnsi="Tahoma" w:cs="Tahoma"/>
          <w:b/>
          <w:color w:val="000000"/>
          <w:sz w:val="20"/>
          <w:szCs w:val="20"/>
          <w:lang w:eastAsia="en-AU"/>
        </w:rPr>
        <w:t>Fixed-effect regression result between oil fuel price change and food inflation rate</w:t>
      </w:r>
    </w:p>
    <w:p w:rsidR="009E49A0" w:rsidRDefault="009E49A0" w:rsidP="009E49A0">
      <w:pPr>
        <w:autoSpaceDE w:val="0"/>
        <w:autoSpaceDN w:val="0"/>
        <w:adjustRightInd w:val="0"/>
        <w:spacing w:line="240" w:lineRule="auto"/>
        <w:ind w:left="426"/>
        <w:rPr>
          <w:rFonts w:ascii="Tahoma" w:eastAsia="Times New Roman" w:hAnsi="Tahoma" w:cs="Tahoma"/>
          <w:b/>
          <w:color w:val="000000"/>
          <w:sz w:val="20"/>
          <w:szCs w:val="20"/>
          <w:lang w:eastAsia="en-AU"/>
        </w:rPr>
      </w:pPr>
    </w:p>
    <w:p w:rsidR="009E49A0" w:rsidRDefault="009E49A0" w:rsidP="009E49A0">
      <w:pPr>
        <w:autoSpaceDE w:val="0"/>
        <w:autoSpaceDN w:val="0"/>
        <w:adjustRightInd w:val="0"/>
        <w:spacing w:line="240" w:lineRule="auto"/>
        <w:ind w:firstLine="720"/>
        <w:rPr>
          <w:rFonts w:ascii="Tahoma" w:eastAsia="Times New Roman" w:hAnsi="Tahoma" w:cs="Tahoma"/>
          <w:color w:val="000000"/>
          <w:sz w:val="20"/>
          <w:szCs w:val="20"/>
          <w:lang w:eastAsia="en-AU"/>
        </w:rPr>
      </w:pPr>
      <w:r>
        <w:rPr>
          <w:rFonts w:ascii="Tahoma" w:eastAsia="Times New Roman" w:hAnsi="Tahoma" w:cs="Tahoma"/>
          <w:color w:val="000000"/>
          <w:sz w:val="20"/>
          <w:szCs w:val="20"/>
          <w:lang w:eastAsia="en-AU"/>
        </w:rPr>
        <w:t>The result of regression analysis utilizing yearly data from January 2013 to December 2015, reveal the following relationship:</w:t>
      </w:r>
    </w:p>
    <w:p w:rsidR="009E49A0" w:rsidRDefault="009E49A0" w:rsidP="009E49A0">
      <w:pPr>
        <w:autoSpaceDE w:val="0"/>
        <w:autoSpaceDN w:val="0"/>
        <w:adjustRightInd w:val="0"/>
        <w:spacing w:line="240" w:lineRule="auto"/>
        <w:rPr>
          <w:rFonts w:ascii="Tahoma" w:hAnsi="Tahoma" w:cs="Tahoma"/>
          <w:sz w:val="20"/>
          <w:szCs w:val="20"/>
        </w:rPr>
      </w:pPr>
      <w:r>
        <w:rPr>
          <w:rFonts w:ascii="Tahoma" w:hAnsi="Tahoma" w:cs="Tahoma"/>
          <w:sz w:val="20"/>
          <w:szCs w:val="20"/>
        </w:rPr>
        <w:t>IHK</w:t>
      </w:r>
      <w:r>
        <w:rPr>
          <w:rFonts w:ascii="Tahoma" w:hAnsi="Tahoma" w:cs="Tahoma"/>
          <w:i/>
          <w:sz w:val="20"/>
          <w:szCs w:val="20"/>
        </w:rPr>
        <w:t xml:space="preserve"> </w:t>
      </w:r>
      <w:r>
        <w:rPr>
          <w:rFonts w:ascii="Tahoma" w:hAnsi="Tahoma" w:cs="Tahoma"/>
          <w:sz w:val="20"/>
          <w:szCs w:val="20"/>
        </w:rPr>
        <w:t xml:space="preserve">= 344.76 – 0.0066GASSPRICE – 0.023DIESELPRICE </w:t>
      </w:r>
    </w:p>
    <w:p w:rsidR="009E49A0" w:rsidRDefault="009E49A0" w:rsidP="009E49A0">
      <w:pPr>
        <w:autoSpaceDE w:val="0"/>
        <w:autoSpaceDN w:val="0"/>
        <w:adjustRightInd w:val="0"/>
        <w:spacing w:line="240" w:lineRule="auto"/>
        <w:rPr>
          <w:rFonts w:ascii="Tahoma" w:hAnsi="Tahoma" w:cs="Tahoma"/>
          <w:sz w:val="20"/>
          <w:szCs w:val="20"/>
        </w:rPr>
      </w:pPr>
      <w:r>
        <w:rPr>
          <w:rFonts w:ascii="Tahoma" w:eastAsia="Times New Roman" w:hAnsi="Tahoma" w:cs="Tahoma"/>
          <w:color w:val="000000"/>
          <w:sz w:val="20"/>
          <w:szCs w:val="20"/>
          <w:lang w:eastAsia="en-AU"/>
        </w:rPr>
        <w:lastRenderedPageBreak/>
        <w:t xml:space="preserve">The </w:t>
      </w:r>
      <w:proofErr w:type="gramStart"/>
      <w:r>
        <w:rPr>
          <w:rFonts w:ascii="Tahoma" w:eastAsia="Times New Roman" w:hAnsi="Tahoma" w:cs="Tahoma"/>
          <w:color w:val="000000"/>
          <w:sz w:val="20"/>
          <w:szCs w:val="20"/>
          <w:lang w:eastAsia="en-AU"/>
        </w:rPr>
        <w:t>effect of gasoline and diesel price change significantly correlate</w:t>
      </w:r>
      <w:proofErr w:type="gramEnd"/>
      <w:r>
        <w:rPr>
          <w:rFonts w:ascii="Tahoma" w:eastAsia="Times New Roman" w:hAnsi="Tahoma" w:cs="Tahoma"/>
          <w:color w:val="000000"/>
          <w:sz w:val="20"/>
          <w:szCs w:val="20"/>
          <w:lang w:eastAsia="en-AU"/>
        </w:rPr>
        <w:t xml:space="preserve"> to inflation in Indonesia. It can be seen from R</w:t>
      </w:r>
      <w:r>
        <w:rPr>
          <w:rFonts w:ascii="Tahoma" w:eastAsia="Times New Roman" w:hAnsi="Tahoma" w:cs="Tahoma"/>
          <w:color w:val="000000"/>
          <w:sz w:val="20"/>
          <w:szCs w:val="20"/>
          <w:vertAlign w:val="superscript"/>
          <w:lang w:eastAsia="en-AU"/>
        </w:rPr>
        <w:t>2</w:t>
      </w:r>
      <w:r>
        <w:rPr>
          <w:rFonts w:ascii="Tahoma" w:eastAsia="Times New Roman" w:hAnsi="Tahoma" w:cs="Tahoma"/>
          <w:color w:val="000000"/>
          <w:sz w:val="20"/>
          <w:szCs w:val="20"/>
          <w:lang w:eastAsia="en-AU"/>
        </w:rPr>
        <w:t xml:space="preserve"> 0.88, means 88 % fluctuation in inflation rate are determined by oil-fuel price. </w:t>
      </w:r>
      <w:proofErr w:type="gramStart"/>
      <w:r>
        <w:rPr>
          <w:rFonts w:ascii="Tahoma" w:eastAsia="Times New Roman" w:hAnsi="Tahoma" w:cs="Tahoma"/>
          <w:color w:val="000000"/>
          <w:sz w:val="20"/>
          <w:szCs w:val="20"/>
          <w:lang w:eastAsia="en-AU"/>
        </w:rPr>
        <w:t>However, beside multi-co linearity between two independent variables issue.</w:t>
      </w:r>
      <w:proofErr w:type="gramEnd"/>
      <w:r>
        <w:rPr>
          <w:rFonts w:ascii="Tahoma" w:eastAsia="Times New Roman" w:hAnsi="Tahoma" w:cs="Tahoma"/>
          <w:color w:val="000000"/>
          <w:sz w:val="20"/>
          <w:szCs w:val="20"/>
          <w:lang w:eastAsia="en-AU"/>
        </w:rPr>
        <w:t xml:space="preserve"> </w:t>
      </w:r>
      <w:r>
        <w:rPr>
          <w:rFonts w:ascii="Tahoma" w:hAnsi="Tahoma" w:cs="Tahoma"/>
          <w:sz w:val="20"/>
          <w:szCs w:val="20"/>
        </w:rPr>
        <w:t>The regression result shows that effect of gasoline price change to inflation is 0.0066. It means</w:t>
      </w:r>
      <w:proofErr w:type="gramStart"/>
      <w:r>
        <w:rPr>
          <w:rFonts w:ascii="Tahoma" w:hAnsi="Tahoma" w:cs="Tahoma"/>
          <w:sz w:val="20"/>
          <w:szCs w:val="20"/>
        </w:rPr>
        <w:t>,</w:t>
      </w:r>
      <w:proofErr w:type="gramEnd"/>
      <w:r>
        <w:rPr>
          <w:rFonts w:ascii="Tahoma" w:hAnsi="Tahoma" w:cs="Tahoma"/>
          <w:sz w:val="20"/>
          <w:szCs w:val="20"/>
        </w:rPr>
        <w:t xml:space="preserve"> if there is 1 % of increase at gasoline price will lower inflation 0.0066 %. Logically, this is not true. According to </w:t>
      </w:r>
      <w:proofErr w:type="spellStart"/>
      <w:r>
        <w:rPr>
          <w:rFonts w:ascii="Tahoma" w:hAnsi="Tahoma" w:cs="Tahoma"/>
          <w:sz w:val="20"/>
          <w:szCs w:val="20"/>
        </w:rPr>
        <w:t>Sim</w:t>
      </w:r>
      <w:proofErr w:type="spellEnd"/>
      <w:r>
        <w:rPr>
          <w:rFonts w:ascii="Tahoma" w:hAnsi="Tahoma" w:cs="Tahoma"/>
          <w:sz w:val="20"/>
          <w:szCs w:val="20"/>
        </w:rPr>
        <w:t xml:space="preserve"> (2016) this strange result is likely to be due to omitted variable problems.</w:t>
      </w:r>
    </w:p>
    <w:p w:rsidR="009E49A0" w:rsidRDefault="009E49A0" w:rsidP="009E49A0">
      <w:pPr>
        <w:autoSpaceDE w:val="0"/>
        <w:autoSpaceDN w:val="0"/>
        <w:adjustRightInd w:val="0"/>
        <w:spacing w:line="240" w:lineRule="auto"/>
        <w:ind w:firstLine="720"/>
        <w:rPr>
          <w:rFonts w:ascii="Tahoma" w:hAnsi="Tahoma" w:cs="Tahoma"/>
          <w:sz w:val="20"/>
          <w:szCs w:val="20"/>
        </w:rPr>
      </w:pPr>
      <w:proofErr w:type="spellStart"/>
      <w:r>
        <w:rPr>
          <w:rFonts w:ascii="Tahoma" w:hAnsi="Tahoma" w:cs="Tahoma"/>
          <w:sz w:val="20"/>
          <w:szCs w:val="20"/>
        </w:rPr>
        <w:t>Sim</w:t>
      </w:r>
      <w:proofErr w:type="spellEnd"/>
      <w:r>
        <w:rPr>
          <w:rFonts w:ascii="Tahoma" w:hAnsi="Tahoma" w:cs="Tahoma"/>
          <w:sz w:val="20"/>
          <w:szCs w:val="20"/>
        </w:rPr>
        <w:t xml:space="preserve"> (2016) also suggests, one solution to view the unobserved factors (i.e. the error term) affecting the dependent variable as consisting of two components: those that are time-invariant (</w:t>
      </w:r>
      <w:proofErr w:type="spellStart"/>
      <w:r>
        <w:rPr>
          <w:rFonts w:ascii="Tahoma" w:hAnsi="Tahoma" w:cs="Tahoma"/>
          <w:sz w:val="20"/>
          <w:szCs w:val="20"/>
        </w:rPr>
        <w:t>a</w:t>
      </w:r>
      <w:r>
        <w:rPr>
          <w:rFonts w:ascii="Tahoma" w:hAnsi="Tahoma" w:cs="Tahoma"/>
          <w:sz w:val="20"/>
          <w:szCs w:val="20"/>
          <w:vertAlign w:val="subscript"/>
        </w:rPr>
        <w:t>i</w:t>
      </w:r>
      <w:proofErr w:type="spellEnd"/>
      <w:r>
        <w:rPr>
          <w:rFonts w:ascii="Tahoma" w:hAnsi="Tahoma" w:cs="Tahoma"/>
          <w:sz w:val="20"/>
          <w:szCs w:val="20"/>
        </w:rPr>
        <w:t>) and those that vary over time (</w:t>
      </w:r>
      <w:proofErr w:type="spellStart"/>
      <w:r>
        <w:rPr>
          <w:rFonts w:ascii="Tahoma" w:hAnsi="Tahoma" w:cs="Tahoma"/>
          <w:sz w:val="20"/>
          <w:szCs w:val="20"/>
        </w:rPr>
        <w:t>v</w:t>
      </w:r>
      <w:r>
        <w:rPr>
          <w:rFonts w:ascii="Tahoma" w:hAnsi="Tahoma" w:cs="Tahoma"/>
          <w:sz w:val="20"/>
          <w:szCs w:val="20"/>
          <w:vertAlign w:val="subscript"/>
        </w:rPr>
        <w:t>it</w:t>
      </w:r>
      <w:proofErr w:type="spellEnd"/>
      <w:r>
        <w:rPr>
          <w:rFonts w:ascii="Tahoma" w:hAnsi="Tahoma" w:cs="Tahoma"/>
          <w:sz w:val="20"/>
          <w:szCs w:val="20"/>
        </w:rPr>
        <w:t xml:space="preserve">) and attribute the problem to </w:t>
      </w:r>
      <w:proofErr w:type="spellStart"/>
      <w:r>
        <w:rPr>
          <w:rFonts w:ascii="Tahoma" w:hAnsi="Tahoma" w:cs="Tahoma"/>
          <w:sz w:val="20"/>
          <w:szCs w:val="20"/>
        </w:rPr>
        <w:t>a</w:t>
      </w:r>
      <w:r>
        <w:rPr>
          <w:rFonts w:ascii="Tahoma" w:hAnsi="Tahoma" w:cs="Tahoma"/>
          <w:sz w:val="20"/>
          <w:szCs w:val="20"/>
          <w:vertAlign w:val="subscript"/>
        </w:rPr>
        <w:t>i</w:t>
      </w:r>
      <w:proofErr w:type="spellEnd"/>
      <w:r>
        <w:rPr>
          <w:rFonts w:ascii="Tahoma" w:hAnsi="Tahoma" w:cs="Tahoma"/>
          <w:sz w:val="20"/>
          <w:szCs w:val="20"/>
        </w:rPr>
        <w:t>. A simple unobserved effects model for inflation rates for 2013 and 2015 is:</w:t>
      </w:r>
    </w:p>
    <w:p w:rsidR="009E49A0" w:rsidRDefault="009E49A0" w:rsidP="009E49A0">
      <w:pPr>
        <w:autoSpaceDE w:val="0"/>
        <w:autoSpaceDN w:val="0"/>
        <w:adjustRightInd w:val="0"/>
        <w:spacing w:line="240" w:lineRule="auto"/>
        <w:rPr>
          <w:rFonts w:ascii="Tahoma" w:hAnsi="Tahoma" w:cs="Tahoma"/>
          <w:sz w:val="20"/>
          <w:szCs w:val="20"/>
        </w:rPr>
      </w:pPr>
    </w:p>
    <w:p w:rsidR="009E49A0" w:rsidRDefault="009E49A0" w:rsidP="009E49A0">
      <w:pPr>
        <w:autoSpaceDE w:val="0"/>
        <w:autoSpaceDN w:val="0"/>
        <w:adjustRightInd w:val="0"/>
        <w:spacing w:line="240" w:lineRule="auto"/>
        <w:rPr>
          <w:rFonts w:ascii="Tahoma" w:hAnsi="Tahoma" w:cs="Tahoma"/>
          <w:sz w:val="20"/>
          <w:szCs w:val="20"/>
        </w:rPr>
      </w:pPr>
      <w:r>
        <w:rPr>
          <w:noProof/>
          <w:lang w:val="id-ID" w:eastAsia="id-ID"/>
        </w:rPr>
        <w:drawing>
          <wp:anchor distT="0" distB="0" distL="114300" distR="114300" simplePos="0" relativeHeight="251659264" behindDoc="0" locked="0" layoutInCell="1" allowOverlap="1">
            <wp:simplePos x="0" y="0"/>
            <wp:positionH relativeFrom="margin">
              <wp:posOffset>8890</wp:posOffset>
            </wp:positionH>
            <wp:positionV relativeFrom="paragraph">
              <wp:posOffset>28575</wp:posOffset>
            </wp:positionV>
            <wp:extent cx="2734310" cy="1748790"/>
            <wp:effectExtent l="0" t="0" r="8890" b="381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l="13184" t="29608" r="43980" b="21657"/>
                    <a:stretch>
                      <a:fillRect/>
                    </a:stretch>
                  </pic:blipFill>
                  <pic:spPr bwMode="auto">
                    <a:xfrm>
                      <a:off x="0" y="0"/>
                      <a:ext cx="2734310" cy="1748790"/>
                    </a:xfrm>
                    <a:prstGeom prst="rect">
                      <a:avLst/>
                    </a:prstGeom>
                    <a:noFill/>
                  </pic:spPr>
                </pic:pic>
              </a:graphicData>
            </a:graphic>
            <wp14:sizeRelH relativeFrom="page">
              <wp14:pctWidth>0</wp14:pctWidth>
            </wp14:sizeRelH>
            <wp14:sizeRelV relativeFrom="page">
              <wp14:pctHeight>0</wp14:pctHeight>
            </wp14:sizeRelV>
          </wp:anchor>
        </w:drawing>
      </w:r>
    </w:p>
    <w:p w:rsidR="009E49A0" w:rsidRDefault="009E49A0" w:rsidP="009E49A0">
      <w:pPr>
        <w:autoSpaceDE w:val="0"/>
        <w:autoSpaceDN w:val="0"/>
        <w:adjustRightInd w:val="0"/>
        <w:spacing w:line="240" w:lineRule="auto"/>
        <w:jc w:val="center"/>
        <w:rPr>
          <w:rFonts w:ascii="Tahoma" w:hAnsi="Tahoma" w:cs="Tahoma"/>
          <w:sz w:val="20"/>
          <w:szCs w:val="20"/>
          <w:vertAlign w:val="subscript"/>
        </w:rPr>
      </w:pPr>
      <w:r>
        <w:rPr>
          <w:rFonts w:ascii="Tahoma" w:hAnsi="Tahoma" w:cs="Tahoma"/>
          <w:sz w:val="20"/>
          <w:szCs w:val="20"/>
        </w:rPr>
        <w:t xml:space="preserve">INF </w:t>
      </w:r>
      <w:r>
        <w:rPr>
          <w:rFonts w:ascii="Tahoma" w:hAnsi="Tahoma" w:cs="Tahoma"/>
          <w:sz w:val="20"/>
          <w:szCs w:val="20"/>
          <w:vertAlign w:val="subscript"/>
        </w:rPr>
        <w:t xml:space="preserve">it </w:t>
      </w:r>
      <w:r>
        <w:rPr>
          <w:rFonts w:ascii="Tahoma" w:hAnsi="Tahoma" w:cs="Tahoma"/>
          <w:sz w:val="20"/>
          <w:szCs w:val="20"/>
        </w:rPr>
        <w:t>= δ</w:t>
      </w:r>
      <w:r>
        <w:rPr>
          <w:rFonts w:ascii="Tahoma" w:hAnsi="Tahoma" w:cs="Tahoma"/>
          <w:sz w:val="20"/>
          <w:szCs w:val="20"/>
          <w:vertAlign w:val="subscript"/>
        </w:rPr>
        <w:t xml:space="preserve">1 </w:t>
      </w:r>
      <w:r>
        <w:rPr>
          <w:rFonts w:ascii="Tahoma" w:hAnsi="Tahoma" w:cs="Tahoma"/>
          <w:sz w:val="20"/>
          <w:szCs w:val="20"/>
        </w:rPr>
        <w:t>+ δ</w:t>
      </w:r>
      <w:r>
        <w:rPr>
          <w:rFonts w:ascii="Tahoma" w:hAnsi="Tahoma" w:cs="Tahoma"/>
          <w:sz w:val="20"/>
          <w:szCs w:val="20"/>
          <w:vertAlign w:val="subscript"/>
        </w:rPr>
        <w:t>2</w:t>
      </w:r>
      <w:r>
        <w:rPr>
          <w:rFonts w:ascii="Tahoma" w:hAnsi="Tahoma" w:cs="Tahoma"/>
          <w:sz w:val="20"/>
          <w:szCs w:val="20"/>
        </w:rPr>
        <w:t>d2013</w:t>
      </w:r>
      <w:r>
        <w:rPr>
          <w:rFonts w:ascii="Tahoma" w:hAnsi="Tahoma" w:cs="Tahoma"/>
          <w:sz w:val="20"/>
          <w:szCs w:val="20"/>
          <w:vertAlign w:val="subscript"/>
        </w:rPr>
        <w:t>t</w:t>
      </w:r>
      <w:r>
        <w:rPr>
          <w:rFonts w:ascii="Tahoma" w:hAnsi="Tahoma" w:cs="Tahoma"/>
          <w:sz w:val="20"/>
          <w:szCs w:val="20"/>
        </w:rPr>
        <w:t xml:space="preserve"> +β</w:t>
      </w:r>
      <w:r>
        <w:rPr>
          <w:rFonts w:ascii="Tahoma" w:hAnsi="Tahoma" w:cs="Tahoma"/>
          <w:sz w:val="20"/>
          <w:szCs w:val="20"/>
          <w:vertAlign w:val="subscript"/>
        </w:rPr>
        <w:t>1</w:t>
      </w:r>
      <w:r>
        <w:rPr>
          <w:rFonts w:ascii="Tahoma" w:hAnsi="Tahoma" w:cs="Tahoma"/>
          <w:sz w:val="20"/>
          <w:szCs w:val="20"/>
        </w:rPr>
        <w:t>gass</w:t>
      </w:r>
      <w:r>
        <w:rPr>
          <w:rFonts w:ascii="Tahoma" w:hAnsi="Tahoma" w:cs="Tahoma"/>
          <w:sz w:val="20"/>
          <w:szCs w:val="20"/>
          <w:vertAlign w:val="subscript"/>
        </w:rPr>
        <w:t>it</w:t>
      </w:r>
      <w:r>
        <w:rPr>
          <w:rFonts w:ascii="Tahoma" w:hAnsi="Tahoma" w:cs="Tahoma"/>
          <w:sz w:val="20"/>
          <w:szCs w:val="20"/>
        </w:rPr>
        <w:t xml:space="preserve"> + β</w:t>
      </w:r>
      <w:r>
        <w:rPr>
          <w:rFonts w:ascii="Tahoma" w:hAnsi="Tahoma" w:cs="Tahoma"/>
          <w:sz w:val="20"/>
          <w:szCs w:val="20"/>
          <w:vertAlign w:val="subscript"/>
        </w:rPr>
        <w:t xml:space="preserve">2 </w:t>
      </w:r>
      <w:r>
        <w:rPr>
          <w:rFonts w:ascii="Tahoma" w:hAnsi="Tahoma" w:cs="Tahoma"/>
          <w:sz w:val="20"/>
          <w:szCs w:val="20"/>
        </w:rPr>
        <w:t xml:space="preserve">diesel </w:t>
      </w:r>
      <w:r>
        <w:rPr>
          <w:rFonts w:ascii="Tahoma" w:hAnsi="Tahoma" w:cs="Tahoma"/>
          <w:sz w:val="20"/>
          <w:szCs w:val="20"/>
          <w:vertAlign w:val="subscript"/>
        </w:rPr>
        <w:t xml:space="preserve">it </w:t>
      </w:r>
      <w:r>
        <w:rPr>
          <w:rFonts w:ascii="Tahoma" w:hAnsi="Tahoma" w:cs="Tahoma"/>
          <w:sz w:val="20"/>
          <w:szCs w:val="20"/>
        </w:rPr>
        <w:t xml:space="preserve">+ </w:t>
      </w:r>
      <w:proofErr w:type="spellStart"/>
      <w:r>
        <w:rPr>
          <w:rFonts w:ascii="Tahoma" w:hAnsi="Tahoma" w:cs="Tahoma"/>
          <w:sz w:val="20"/>
          <w:szCs w:val="20"/>
        </w:rPr>
        <w:t>a</w:t>
      </w:r>
      <w:r>
        <w:rPr>
          <w:rFonts w:ascii="Tahoma" w:hAnsi="Tahoma" w:cs="Tahoma"/>
          <w:sz w:val="20"/>
          <w:szCs w:val="20"/>
          <w:vertAlign w:val="subscript"/>
        </w:rPr>
        <w:t>i</w:t>
      </w:r>
      <w:proofErr w:type="spellEnd"/>
      <w:r>
        <w:rPr>
          <w:rFonts w:ascii="Tahoma" w:hAnsi="Tahoma" w:cs="Tahoma"/>
          <w:sz w:val="20"/>
          <w:szCs w:val="20"/>
          <w:vertAlign w:val="subscript"/>
        </w:rPr>
        <w:t xml:space="preserve"> </w:t>
      </w:r>
      <w:r>
        <w:rPr>
          <w:rFonts w:ascii="Tahoma" w:hAnsi="Tahoma" w:cs="Tahoma"/>
          <w:sz w:val="20"/>
          <w:szCs w:val="20"/>
        </w:rPr>
        <w:t xml:space="preserve">+ </w:t>
      </w:r>
      <w:proofErr w:type="spellStart"/>
      <w:r>
        <w:rPr>
          <w:rFonts w:ascii="Tahoma" w:hAnsi="Tahoma" w:cs="Tahoma"/>
          <w:sz w:val="20"/>
          <w:szCs w:val="20"/>
        </w:rPr>
        <w:t>v</w:t>
      </w:r>
      <w:r>
        <w:rPr>
          <w:rFonts w:ascii="Tahoma" w:hAnsi="Tahoma" w:cs="Tahoma"/>
          <w:sz w:val="20"/>
          <w:szCs w:val="20"/>
          <w:vertAlign w:val="subscript"/>
        </w:rPr>
        <w:t>it</w:t>
      </w:r>
      <w:proofErr w:type="spellEnd"/>
    </w:p>
    <w:p w:rsidR="009E49A0" w:rsidRDefault="009E49A0" w:rsidP="009E49A0">
      <w:pPr>
        <w:autoSpaceDE w:val="0"/>
        <w:autoSpaceDN w:val="0"/>
        <w:adjustRightInd w:val="0"/>
        <w:spacing w:line="240" w:lineRule="auto"/>
        <w:rPr>
          <w:rFonts w:ascii="Tahoma" w:hAnsi="Tahoma" w:cs="Tahoma"/>
          <w:sz w:val="20"/>
          <w:szCs w:val="20"/>
        </w:rPr>
      </w:pPr>
      <w:proofErr w:type="gramStart"/>
      <w:r>
        <w:rPr>
          <w:rFonts w:ascii="Tahoma" w:hAnsi="Tahoma" w:cs="Tahoma"/>
          <w:sz w:val="20"/>
          <w:szCs w:val="20"/>
        </w:rPr>
        <w:t>where</w:t>
      </w:r>
      <w:proofErr w:type="gramEnd"/>
      <w:r>
        <w:rPr>
          <w:rFonts w:ascii="Tahoma" w:hAnsi="Tahoma" w:cs="Tahoma"/>
          <w:sz w:val="20"/>
          <w:szCs w:val="20"/>
        </w:rPr>
        <w:t>:</w:t>
      </w:r>
    </w:p>
    <w:p w:rsidR="009E49A0" w:rsidRDefault="009E49A0" w:rsidP="009E49A0">
      <w:pPr>
        <w:autoSpaceDE w:val="0"/>
        <w:autoSpaceDN w:val="0"/>
        <w:adjustRightInd w:val="0"/>
        <w:spacing w:line="240" w:lineRule="auto"/>
        <w:ind w:firstLine="720"/>
        <w:rPr>
          <w:rFonts w:ascii="Tahoma" w:hAnsi="Tahoma" w:cs="Tahoma"/>
          <w:sz w:val="20"/>
          <w:szCs w:val="20"/>
        </w:rPr>
      </w:pPr>
      <w:proofErr w:type="gramStart"/>
      <w:r>
        <w:rPr>
          <w:rFonts w:ascii="Tahoma" w:hAnsi="Tahoma" w:cs="Tahoma"/>
          <w:sz w:val="20"/>
          <w:szCs w:val="20"/>
        </w:rPr>
        <w:t>d2013</w:t>
      </w:r>
      <w:proofErr w:type="gramEnd"/>
      <w:r>
        <w:rPr>
          <w:rFonts w:ascii="Tahoma" w:hAnsi="Tahoma" w:cs="Tahoma"/>
          <w:sz w:val="20"/>
          <w:szCs w:val="20"/>
        </w:rPr>
        <w:t xml:space="preserve"> is a dummy variable for 2013</w:t>
      </w:r>
    </w:p>
    <w:p w:rsidR="009E49A0" w:rsidRDefault="009E49A0" w:rsidP="009E49A0">
      <w:pPr>
        <w:autoSpaceDE w:val="0"/>
        <w:autoSpaceDN w:val="0"/>
        <w:adjustRightInd w:val="0"/>
        <w:spacing w:line="240" w:lineRule="auto"/>
        <w:ind w:firstLine="720"/>
        <w:rPr>
          <w:rFonts w:ascii="Tahoma" w:hAnsi="Tahoma" w:cs="Tahoma"/>
          <w:sz w:val="20"/>
          <w:szCs w:val="20"/>
        </w:rPr>
      </w:pPr>
      <w:proofErr w:type="spellStart"/>
      <w:proofErr w:type="gramStart"/>
      <w:r>
        <w:rPr>
          <w:rFonts w:ascii="Tahoma" w:hAnsi="Tahoma" w:cs="Tahoma"/>
          <w:sz w:val="20"/>
          <w:szCs w:val="20"/>
        </w:rPr>
        <w:t>a</w:t>
      </w:r>
      <w:r>
        <w:rPr>
          <w:rFonts w:ascii="Tahoma" w:hAnsi="Tahoma" w:cs="Tahoma"/>
          <w:sz w:val="20"/>
          <w:szCs w:val="20"/>
          <w:vertAlign w:val="subscript"/>
        </w:rPr>
        <w:t>i</w:t>
      </w:r>
      <w:proofErr w:type="spellEnd"/>
      <w:proofErr w:type="gramEnd"/>
      <w:r>
        <w:rPr>
          <w:rFonts w:ascii="Tahoma" w:hAnsi="Tahoma" w:cs="Tahoma"/>
          <w:sz w:val="20"/>
          <w:szCs w:val="20"/>
          <w:vertAlign w:val="subscript"/>
        </w:rPr>
        <w:t xml:space="preserve"> </w:t>
      </w:r>
      <w:r>
        <w:rPr>
          <w:rFonts w:ascii="Tahoma" w:hAnsi="Tahoma" w:cs="Tahoma"/>
          <w:sz w:val="20"/>
          <w:szCs w:val="20"/>
        </w:rPr>
        <w:t>is province fixed effect</w:t>
      </w:r>
    </w:p>
    <w:p w:rsidR="009E49A0" w:rsidRDefault="009E49A0" w:rsidP="009E49A0">
      <w:pPr>
        <w:autoSpaceDE w:val="0"/>
        <w:autoSpaceDN w:val="0"/>
        <w:adjustRightInd w:val="0"/>
        <w:spacing w:line="240" w:lineRule="auto"/>
        <w:ind w:firstLine="720"/>
        <w:rPr>
          <w:rFonts w:ascii="Tahoma" w:hAnsi="Tahoma" w:cs="Tahoma"/>
          <w:sz w:val="20"/>
          <w:szCs w:val="20"/>
        </w:rPr>
      </w:pPr>
    </w:p>
    <w:p w:rsidR="009E49A0" w:rsidRDefault="009E49A0" w:rsidP="009E49A0">
      <w:pPr>
        <w:spacing w:line="240" w:lineRule="auto"/>
        <w:jc w:val="center"/>
        <w:rPr>
          <w:rFonts w:ascii="Tahoma" w:hAnsi="Tahoma" w:cs="Tahoma"/>
          <w:b/>
          <w:sz w:val="24"/>
          <w:szCs w:val="24"/>
        </w:rPr>
      </w:pPr>
      <w:r>
        <w:rPr>
          <w:rFonts w:ascii="Tahoma" w:hAnsi="Tahoma" w:cs="Tahoma"/>
          <w:b/>
          <w:sz w:val="24"/>
          <w:szCs w:val="24"/>
        </w:rPr>
        <w:t>CONCLUSION AND RECOMMENDATION</w:t>
      </w:r>
    </w:p>
    <w:p w:rsidR="009E49A0" w:rsidRDefault="009E49A0" w:rsidP="009E49A0">
      <w:pPr>
        <w:spacing w:line="240" w:lineRule="auto"/>
        <w:jc w:val="center"/>
        <w:rPr>
          <w:rFonts w:ascii="Tahoma" w:hAnsi="Tahoma" w:cs="Tahoma"/>
          <w:b/>
          <w:sz w:val="24"/>
          <w:szCs w:val="24"/>
        </w:rPr>
      </w:pPr>
    </w:p>
    <w:p w:rsidR="009E49A0" w:rsidRDefault="009E49A0" w:rsidP="009E49A0">
      <w:pPr>
        <w:spacing w:line="240" w:lineRule="auto"/>
        <w:jc w:val="left"/>
        <w:rPr>
          <w:rFonts w:ascii="Tahoma" w:hAnsi="Tahoma" w:cs="Tahoma"/>
          <w:b/>
          <w:sz w:val="20"/>
          <w:szCs w:val="20"/>
        </w:rPr>
      </w:pPr>
      <w:r>
        <w:rPr>
          <w:rFonts w:ascii="Tahoma" w:hAnsi="Tahoma" w:cs="Tahoma"/>
          <w:b/>
          <w:sz w:val="20"/>
          <w:szCs w:val="20"/>
        </w:rPr>
        <w:t>Conclusion</w:t>
      </w:r>
    </w:p>
    <w:p w:rsidR="009E49A0" w:rsidRDefault="009E49A0" w:rsidP="009E49A0">
      <w:pPr>
        <w:numPr>
          <w:ilvl w:val="0"/>
          <w:numId w:val="2"/>
        </w:numPr>
        <w:spacing w:line="240" w:lineRule="auto"/>
        <w:ind w:left="426" w:hanging="426"/>
        <w:contextualSpacing/>
        <w:rPr>
          <w:rFonts w:ascii="Tahoma" w:hAnsi="Tahoma" w:cs="Tahoma"/>
          <w:iCs/>
          <w:sz w:val="20"/>
          <w:szCs w:val="20"/>
        </w:rPr>
      </w:pPr>
      <w:r>
        <w:rPr>
          <w:rFonts w:ascii="Tahoma" w:hAnsi="Tahoma" w:cs="Tahoma"/>
          <w:iCs/>
          <w:sz w:val="20"/>
          <w:szCs w:val="20"/>
        </w:rPr>
        <w:t xml:space="preserve">Food insecurity exists when people do not have adequate physical, social or economic access to food as defined above. </w:t>
      </w:r>
    </w:p>
    <w:p w:rsidR="009E49A0" w:rsidRDefault="009E49A0" w:rsidP="009E49A0">
      <w:pPr>
        <w:numPr>
          <w:ilvl w:val="0"/>
          <w:numId w:val="2"/>
        </w:numPr>
        <w:spacing w:line="240" w:lineRule="auto"/>
        <w:ind w:left="426" w:hanging="426"/>
        <w:contextualSpacing/>
        <w:rPr>
          <w:rFonts w:ascii="Tahoma" w:hAnsi="Tahoma" w:cs="Tahoma"/>
          <w:iCs/>
          <w:sz w:val="20"/>
          <w:szCs w:val="20"/>
        </w:rPr>
      </w:pPr>
      <w:r>
        <w:rPr>
          <w:rFonts w:ascii="Tahoma" w:hAnsi="Tahoma" w:cs="Tahoma"/>
          <w:sz w:val="20"/>
          <w:szCs w:val="20"/>
        </w:rPr>
        <w:t>Shocks like droughts or economic downturns can affect individuals who normally have appropriate access to food, threatening the stability of food security which implies adequate access to food at all times.</w:t>
      </w:r>
      <w:r>
        <w:rPr>
          <w:rFonts w:ascii="Tahoma" w:eastAsia="Times New Roman" w:hAnsi="Tahoma" w:cs="Tahoma"/>
          <w:color w:val="000000"/>
          <w:sz w:val="20"/>
          <w:szCs w:val="20"/>
          <w:lang w:eastAsia="en-AU"/>
        </w:rPr>
        <w:t xml:space="preserve"> </w:t>
      </w:r>
    </w:p>
    <w:p w:rsidR="009E49A0" w:rsidRDefault="009E49A0" w:rsidP="009E49A0">
      <w:pPr>
        <w:numPr>
          <w:ilvl w:val="0"/>
          <w:numId w:val="2"/>
        </w:numPr>
        <w:spacing w:line="240" w:lineRule="auto"/>
        <w:ind w:left="426" w:hanging="426"/>
        <w:contextualSpacing/>
        <w:rPr>
          <w:rFonts w:ascii="Tahoma" w:hAnsi="Tahoma" w:cs="Tahoma"/>
          <w:iCs/>
          <w:sz w:val="20"/>
          <w:szCs w:val="20"/>
        </w:rPr>
      </w:pPr>
      <w:r>
        <w:rPr>
          <w:rFonts w:ascii="Tahoma" w:eastAsia="Times New Roman" w:hAnsi="Tahoma" w:cs="Tahoma"/>
          <w:color w:val="000000"/>
          <w:sz w:val="20"/>
          <w:szCs w:val="20"/>
          <w:lang w:eastAsia="en-AU"/>
        </w:rPr>
        <w:t xml:space="preserve">The inflation </w:t>
      </w:r>
      <w:proofErr w:type="gramStart"/>
      <w:r>
        <w:rPr>
          <w:rFonts w:ascii="Tahoma" w:eastAsia="Times New Roman" w:hAnsi="Tahoma" w:cs="Tahoma"/>
          <w:color w:val="000000"/>
          <w:sz w:val="20"/>
          <w:szCs w:val="20"/>
          <w:lang w:eastAsia="en-AU"/>
        </w:rPr>
        <w:t>rate in Indonesia tend</w:t>
      </w:r>
      <w:proofErr w:type="gramEnd"/>
      <w:r>
        <w:rPr>
          <w:rFonts w:ascii="Tahoma" w:eastAsia="Times New Roman" w:hAnsi="Tahoma" w:cs="Tahoma"/>
          <w:color w:val="000000"/>
          <w:sz w:val="20"/>
          <w:szCs w:val="20"/>
          <w:lang w:eastAsia="en-AU"/>
        </w:rPr>
        <w:t xml:space="preserve"> to be fluctuated with the trend that is almost same with fuel price trend. </w:t>
      </w:r>
    </w:p>
    <w:p w:rsidR="009E49A0" w:rsidRDefault="009E49A0" w:rsidP="009E49A0">
      <w:pPr>
        <w:numPr>
          <w:ilvl w:val="0"/>
          <w:numId w:val="2"/>
        </w:numPr>
        <w:spacing w:line="240" w:lineRule="auto"/>
        <w:ind w:left="426" w:hanging="426"/>
        <w:contextualSpacing/>
        <w:rPr>
          <w:rFonts w:ascii="Tahoma" w:hAnsi="Tahoma" w:cs="Tahoma"/>
          <w:iCs/>
          <w:sz w:val="20"/>
          <w:szCs w:val="20"/>
        </w:rPr>
      </w:pPr>
      <w:r>
        <w:rPr>
          <w:rFonts w:ascii="Tahoma" w:eastAsia="Times New Roman" w:hAnsi="Tahoma" w:cs="Tahoma"/>
          <w:color w:val="000000"/>
          <w:sz w:val="20"/>
          <w:szCs w:val="20"/>
          <w:lang w:eastAsia="en-AU"/>
        </w:rPr>
        <w:lastRenderedPageBreak/>
        <w:t xml:space="preserve">The </w:t>
      </w:r>
      <w:proofErr w:type="gramStart"/>
      <w:r>
        <w:rPr>
          <w:rFonts w:ascii="Tahoma" w:eastAsia="Times New Roman" w:hAnsi="Tahoma" w:cs="Tahoma"/>
          <w:color w:val="000000"/>
          <w:sz w:val="20"/>
          <w:szCs w:val="20"/>
          <w:lang w:eastAsia="en-AU"/>
        </w:rPr>
        <w:t>effect of gasoline and diesel price change significantly correlate</w:t>
      </w:r>
      <w:proofErr w:type="gramEnd"/>
      <w:r>
        <w:rPr>
          <w:rFonts w:ascii="Tahoma" w:eastAsia="Times New Roman" w:hAnsi="Tahoma" w:cs="Tahoma"/>
          <w:color w:val="000000"/>
          <w:sz w:val="20"/>
          <w:szCs w:val="20"/>
          <w:lang w:eastAsia="en-AU"/>
        </w:rPr>
        <w:t xml:space="preserve"> to inflation in Indonesia. It can be seen from R</w:t>
      </w:r>
      <w:r>
        <w:rPr>
          <w:rFonts w:ascii="Tahoma" w:eastAsia="Times New Roman" w:hAnsi="Tahoma" w:cs="Tahoma"/>
          <w:color w:val="000000"/>
          <w:sz w:val="20"/>
          <w:szCs w:val="20"/>
          <w:vertAlign w:val="superscript"/>
          <w:lang w:eastAsia="en-AU"/>
        </w:rPr>
        <w:t>2</w:t>
      </w:r>
      <w:r>
        <w:rPr>
          <w:rFonts w:ascii="Tahoma" w:eastAsia="Times New Roman" w:hAnsi="Tahoma" w:cs="Tahoma"/>
          <w:color w:val="000000"/>
          <w:sz w:val="20"/>
          <w:szCs w:val="20"/>
          <w:lang w:eastAsia="en-AU"/>
        </w:rPr>
        <w:t xml:space="preserve"> 0.88, means 88 % fluctuation in inflation rate are determined by oil-fuel price. However, the model gives the strange result. Therefore, it cannot be used to estimate the correlation between oil-fuel price-changed to inflation rate in Indonesia.</w:t>
      </w:r>
    </w:p>
    <w:p w:rsidR="009E49A0" w:rsidRDefault="009E49A0" w:rsidP="009E49A0">
      <w:pPr>
        <w:spacing w:line="240" w:lineRule="auto"/>
        <w:ind w:left="426"/>
        <w:rPr>
          <w:rFonts w:ascii="Tahoma" w:hAnsi="Tahoma" w:cs="Tahoma"/>
          <w:iCs/>
          <w:sz w:val="20"/>
          <w:szCs w:val="20"/>
        </w:rPr>
      </w:pPr>
    </w:p>
    <w:p w:rsidR="009E49A0" w:rsidRDefault="009E49A0" w:rsidP="009E49A0">
      <w:pPr>
        <w:spacing w:line="240" w:lineRule="auto"/>
        <w:jc w:val="left"/>
        <w:rPr>
          <w:rFonts w:ascii="Tahoma" w:hAnsi="Tahoma" w:cs="Tahoma"/>
          <w:b/>
          <w:sz w:val="20"/>
          <w:szCs w:val="20"/>
        </w:rPr>
      </w:pPr>
      <w:r>
        <w:rPr>
          <w:rFonts w:ascii="Tahoma" w:hAnsi="Tahoma" w:cs="Tahoma"/>
          <w:b/>
          <w:sz w:val="20"/>
          <w:szCs w:val="20"/>
        </w:rPr>
        <w:t>Recommendation</w:t>
      </w:r>
    </w:p>
    <w:p w:rsidR="009E49A0" w:rsidRDefault="009E49A0" w:rsidP="009E49A0">
      <w:pPr>
        <w:spacing w:line="240" w:lineRule="auto"/>
        <w:jc w:val="left"/>
        <w:rPr>
          <w:rFonts w:ascii="Tahoma" w:hAnsi="Tahoma" w:cs="Tahoma"/>
          <w:b/>
          <w:sz w:val="20"/>
          <w:szCs w:val="20"/>
        </w:rPr>
      </w:pPr>
    </w:p>
    <w:p w:rsidR="009E49A0" w:rsidRDefault="009E49A0" w:rsidP="009E49A0">
      <w:pPr>
        <w:numPr>
          <w:ilvl w:val="0"/>
          <w:numId w:val="4"/>
        </w:numPr>
        <w:spacing w:line="240" w:lineRule="auto"/>
        <w:ind w:left="426"/>
        <w:contextualSpacing/>
        <w:rPr>
          <w:rFonts w:ascii="Tahoma" w:hAnsi="Tahoma" w:cs="Tahoma"/>
          <w:b/>
          <w:sz w:val="20"/>
          <w:szCs w:val="20"/>
        </w:rPr>
      </w:pPr>
      <w:r>
        <w:rPr>
          <w:rFonts w:ascii="Tahoma" w:hAnsi="Tahoma" w:cs="Tahoma"/>
          <w:sz w:val="20"/>
          <w:szCs w:val="20"/>
        </w:rPr>
        <w:t>It is needed to find out</w:t>
      </w:r>
      <w:r>
        <w:rPr>
          <w:rFonts w:ascii="Tahoma" w:hAnsi="Tahoma" w:cs="Tahoma"/>
          <w:b/>
          <w:sz w:val="20"/>
          <w:szCs w:val="20"/>
        </w:rPr>
        <w:t xml:space="preserve"> </w:t>
      </w:r>
      <w:r>
        <w:rPr>
          <w:rFonts w:ascii="Tahoma" w:hAnsi="Tahoma" w:cs="Tahoma"/>
          <w:sz w:val="20"/>
          <w:szCs w:val="20"/>
        </w:rPr>
        <w:t>one solution to view the unobserved factors (i.e. the error term) affecting the dependent variable as consisting of two components: those that are time-invariant (</w:t>
      </w:r>
      <w:proofErr w:type="spellStart"/>
      <w:r>
        <w:rPr>
          <w:rFonts w:ascii="Tahoma" w:hAnsi="Tahoma" w:cs="Tahoma"/>
          <w:sz w:val="20"/>
          <w:szCs w:val="20"/>
        </w:rPr>
        <w:t>a</w:t>
      </w:r>
      <w:r>
        <w:rPr>
          <w:rFonts w:ascii="Tahoma" w:hAnsi="Tahoma" w:cs="Tahoma"/>
          <w:sz w:val="20"/>
          <w:szCs w:val="20"/>
          <w:vertAlign w:val="subscript"/>
        </w:rPr>
        <w:t>i</w:t>
      </w:r>
      <w:proofErr w:type="spellEnd"/>
      <w:r>
        <w:rPr>
          <w:rFonts w:ascii="Tahoma" w:hAnsi="Tahoma" w:cs="Tahoma"/>
          <w:sz w:val="20"/>
          <w:szCs w:val="20"/>
        </w:rPr>
        <w:t>) and those that vary over time (</w:t>
      </w:r>
      <w:proofErr w:type="spellStart"/>
      <w:r>
        <w:rPr>
          <w:rFonts w:ascii="Tahoma" w:hAnsi="Tahoma" w:cs="Tahoma"/>
          <w:sz w:val="20"/>
          <w:szCs w:val="20"/>
        </w:rPr>
        <w:t>v</w:t>
      </w:r>
      <w:r>
        <w:rPr>
          <w:rFonts w:ascii="Tahoma" w:hAnsi="Tahoma" w:cs="Tahoma"/>
          <w:sz w:val="20"/>
          <w:szCs w:val="20"/>
          <w:vertAlign w:val="subscript"/>
        </w:rPr>
        <w:t>it</w:t>
      </w:r>
      <w:proofErr w:type="spellEnd"/>
      <w:r>
        <w:rPr>
          <w:rFonts w:ascii="Tahoma" w:hAnsi="Tahoma" w:cs="Tahoma"/>
          <w:sz w:val="20"/>
          <w:szCs w:val="20"/>
        </w:rPr>
        <w:t xml:space="preserve">) and attribute the problem to </w:t>
      </w:r>
      <w:proofErr w:type="spellStart"/>
      <w:r>
        <w:rPr>
          <w:rFonts w:ascii="Tahoma" w:hAnsi="Tahoma" w:cs="Tahoma"/>
          <w:sz w:val="20"/>
          <w:szCs w:val="20"/>
        </w:rPr>
        <w:t>a</w:t>
      </w:r>
      <w:r>
        <w:rPr>
          <w:rFonts w:ascii="Tahoma" w:hAnsi="Tahoma" w:cs="Tahoma"/>
          <w:sz w:val="20"/>
          <w:szCs w:val="20"/>
          <w:vertAlign w:val="subscript"/>
        </w:rPr>
        <w:t>i</w:t>
      </w:r>
      <w:proofErr w:type="spellEnd"/>
      <w:r>
        <w:rPr>
          <w:rFonts w:ascii="Tahoma" w:hAnsi="Tahoma" w:cs="Tahoma"/>
          <w:sz w:val="20"/>
          <w:szCs w:val="20"/>
        </w:rPr>
        <w:t>.</w:t>
      </w:r>
    </w:p>
    <w:p w:rsidR="009E49A0" w:rsidRDefault="009E49A0" w:rsidP="009E49A0">
      <w:pPr>
        <w:spacing w:line="240" w:lineRule="auto"/>
        <w:rPr>
          <w:rFonts w:ascii="Tahoma" w:hAnsi="Tahoma" w:cs="Tahoma"/>
          <w:b/>
          <w:sz w:val="20"/>
          <w:szCs w:val="20"/>
        </w:rPr>
      </w:pPr>
    </w:p>
    <w:p w:rsidR="009E49A0" w:rsidRDefault="009E49A0" w:rsidP="009E49A0">
      <w:pPr>
        <w:spacing w:line="240" w:lineRule="auto"/>
        <w:jc w:val="center"/>
        <w:rPr>
          <w:rFonts w:ascii="Tahoma" w:hAnsi="Tahoma" w:cs="Tahoma"/>
          <w:b/>
          <w:sz w:val="24"/>
          <w:szCs w:val="24"/>
        </w:rPr>
      </w:pPr>
      <w:r>
        <w:rPr>
          <w:rFonts w:ascii="Tahoma" w:hAnsi="Tahoma" w:cs="Tahoma"/>
          <w:b/>
          <w:sz w:val="24"/>
          <w:szCs w:val="24"/>
        </w:rPr>
        <w:t>REFERENCES</w:t>
      </w:r>
    </w:p>
    <w:p w:rsidR="009E49A0" w:rsidRDefault="009E49A0" w:rsidP="009E49A0">
      <w:pPr>
        <w:spacing w:line="240" w:lineRule="auto"/>
        <w:jc w:val="center"/>
        <w:rPr>
          <w:rFonts w:ascii="Tahoma" w:hAnsi="Tahoma" w:cs="Tahoma"/>
          <w:b/>
          <w:sz w:val="24"/>
          <w:szCs w:val="24"/>
        </w:rPr>
      </w:pPr>
    </w:p>
    <w:p w:rsidR="009E49A0" w:rsidRDefault="009E49A0" w:rsidP="009E49A0">
      <w:pPr>
        <w:shd w:val="clear" w:color="auto" w:fill="FFFFFF"/>
        <w:spacing w:line="240" w:lineRule="auto"/>
        <w:ind w:left="851" w:hanging="851"/>
        <w:textAlignment w:val="baseline"/>
        <w:rPr>
          <w:rFonts w:ascii="Tahoma" w:eastAsia="Times New Roman" w:hAnsi="Tahoma" w:cs="Tahoma"/>
          <w:color w:val="000000"/>
          <w:sz w:val="20"/>
          <w:szCs w:val="20"/>
          <w:lang w:eastAsia="en-AU"/>
        </w:rPr>
      </w:pPr>
      <w:proofErr w:type="spellStart"/>
      <w:r>
        <w:rPr>
          <w:rFonts w:ascii="Tahoma" w:eastAsia="Times New Roman" w:hAnsi="Tahoma" w:cs="Tahoma"/>
          <w:color w:val="000000"/>
          <w:sz w:val="20"/>
          <w:szCs w:val="20"/>
          <w:lang w:eastAsia="en-AU"/>
        </w:rPr>
        <w:t>Baumeister</w:t>
      </w:r>
      <w:proofErr w:type="spellEnd"/>
      <w:r>
        <w:rPr>
          <w:rFonts w:ascii="Tahoma" w:eastAsia="Times New Roman" w:hAnsi="Tahoma" w:cs="Tahoma"/>
          <w:color w:val="000000"/>
          <w:sz w:val="20"/>
          <w:szCs w:val="20"/>
          <w:lang w:eastAsia="en-AU"/>
        </w:rPr>
        <w:t xml:space="preserve">, C and L </w:t>
      </w:r>
      <w:proofErr w:type="spellStart"/>
      <w:r>
        <w:rPr>
          <w:rFonts w:ascii="Tahoma" w:eastAsia="Times New Roman" w:hAnsi="Tahoma" w:cs="Tahoma"/>
          <w:color w:val="000000"/>
          <w:sz w:val="20"/>
          <w:szCs w:val="20"/>
          <w:lang w:eastAsia="en-AU"/>
        </w:rPr>
        <w:t>Kilian</w:t>
      </w:r>
      <w:proofErr w:type="spellEnd"/>
      <w:r>
        <w:rPr>
          <w:rFonts w:ascii="Tahoma" w:eastAsia="Times New Roman" w:hAnsi="Tahoma" w:cs="Tahoma"/>
          <w:color w:val="000000"/>
          <w:sz w:val="20"/>
          <w:szCs w:val="20"/>
          <w:lang w:eastAsia="en-AU"/>
        </w:rPr>
        <w:t xml:space="preserve"> (2013), “</w:t>
      </w:r>
      <w:hyperlink r:id="rId15" w:history="1">
        <w:r>
          <w:rPr>
            <w:rStyle w:val="Hyperlink"/>
            <w:rFonts w:ascii="Tahoma" w:eastAsia="Times New Roman" w:hAnsi="Tahoma" w:cs="Tahoma"/>
            <w:color w:val="auto"/>
            <w:sz w:val="20"/>
            <w:szCs w:val="20"/>
            <w:u w:val="none"/>
            <w:bdr w:val="none" w:sz="0" w:space="0" w:color="auto" w:frame="1"/>
            <w:lang w:eastAsia="en-AU"/>
          </w:rPr>
          <w:t>Do Oil Price Increases Cause Higher Food Prices?</w:t>
        </w:r>
      </w:hyperlink>
      <w:proofErr w:type="gramStart"/>
      <w:r>
        <w:rPr>
          <w:rFonts w:ascii="Tahoma" w:eastAsia="Times New Roman" w:hAnsi="Tahoma" w:cs="Tahoma"/>
          <w:sz w:val="20"/>
          <w:szCs w:val="20"/>
          <w:lang w:eastAsia="en-AU"/>
        </w:rPr>
        <w:t>”,</w:t>
      </w:r>
      <w:proofErr w:type="gramEnd"/>
      <w:r>
        <w:rPr>
          <w:rFonts w:ascii="Tahoma" w:eastAsia="Times New Roman" w:hAnsi="Tahoma" w:cs="Tahoma"/>
          <w:sz w:val="20"/>
          <w:szCs w:val="20"/>
          <w:lang w:eastAsia="en-AU"/>
        </w:rPr>
        <w:t xml:space="preserve"> </w:t>
      </w:r>
      <w:r>
        <w:rPr>
          <w:rFonts w:ascii="Tahoma" w:eastAsia="Times New Roman" w:hAnsi="Tahoma" w:cs="Tahoma"/>
          <w:color w:val="000000"/>
          <w:sz w:val="20"/>
          <w:szCs w:val="20"/>
          <w:lang w:eastAsia="en-AU"/>
        </w:rPr>
        <w:t>CEPR Discussion Paper 9689.</w:t>
      </w:r>
    </w:p>
    <w:p w:rsidR="009E49A0" w:rsidRDefault="009E49A0" w:rsidP="009E49A0">
      <w:pPr>
        <w:shd w:val="clear" w:color="auto" w:fill="FFFFFF"/>
        <w:spacing w:line="240" w:lineRule="auto"/>
        <w:ind w:left="851" w:hanging="851"/>
        <w:outlineLvl w:val="2"/>
        <w:rPr>
          <w:rFonts w:ascii="Tahoma" w:hAnsi="Tahoma" w:cs="Tahoma"/>
          <w:sz w:val="20"/>
          <w:szCs w:val="20"/>
        </w:rPr>
      </w:pPr>
      <w:r>
        <w:rPr>
          <w:rFonts w:ascii="Tahoma" w:hAnsi="Tahoma" w:cs="Tahoma"/>
          <w:sz w:val="20"/>
          <w:szCs w:val="20"/>
        </w:rPr>
        <w:t xml:space="preserve">Cuesta, J, </w:t>
      </w:r>
      <w:proofErr w:type="spellStart"/>
      <w:r>
        <w:rPr>
          <w:rFonts w:ascii="Tahoma" w:hAnsi="Tahoma" w:cs="Tahoma"/>
          <w:sz w:val="20"/>
          <w:szCs w:val="20"/>
        </w:rPr>
        <w:t>Htenas</w:t>
      </w:r>
      <w:proofErr w:type="spellEnd"/>
      <w:r>
        <w:rPr>
          <w:rFonts w:ascii="Tahoma" w:hAnsi="Tahoma" w:cs="Tahoma"/>
          <w:sz w:val="20"/>
          <w:szCs w:val="20"/>
        </w:rPr>
        <w:t xml:space="preserve"> A, &amp; </w:t>
      </w:r>
      <w:proofErr w:type="spellStart"/>
      <w:r>
        <w:rPr>
          <w:rFonts w:ascii="Tahoma" w:hAnsi="Tahoma" w:cs="Tahoma"/>
          <w:sz w:val="20"/>
          <w:szCs w:val="20"/>
        </w:rPr>
        <w:t>Tiwari</w:t>
      </w:r>
      <w:proofErr w:type="spellEnd"/>
      <w:r>
        <w:rPr>
          <w:rFonts w:ascii="Tahoma" w:hAnsi="Tahoma" w:cs="Tahoma"/>
          <w:sz w:val="20"/>
          <w:szCs w:val="20"/>
        </w:rPr>
        <w:t xml:space="preserve">, S 2014, ‘Monitoring Global and National Food Price Crises’, </w:t>
      </w:r>
      <w:r>
        <w:rPr>
          <w:rFonts w:ascii="Tahoma" w:hAnsi="Tahoma" w:cs="Tahoma"/>
          <w:i/>
          <w:sz w:val="20"/>
          <w:szCs w:val="20"/>
        </w:rPr>
        <w:t xml:space="preserve">Food Policy, </w:t>
      </w:r>
      <w:r>
        <w:rPr>
          <w:rFonts w:ascii="Tahoma" w:hAnsi="Tahoma" w:cs="Tahoma"/>
          <w:sz w:val="20"/>
          <w:szCs w:val="20"/>
        </w:rPr>
        <w:t>vol. 10, no.49, pp. 84-94.</w:t>
      </w:r>
    </w:p>
    <w:p w:rsidR="009E49A0" w:rsidRDefault="009E49A0" w:rsidP="009E49A0">
      <w:pPr>
        <w:spacing w:line="240" w:lineRule="auto"/>
        <w:ind w:left="851" w:hanging="851"/>
        <w:rPr>
          <w:rFonts w:ascii="Tahoma" w:hAnsi="Tahoma" w:cs="Tahoma"/>
          <w:sz w:val="20"/>
          <w:szCs w:val="20"/>
        </w:rPr>
      </w:pPr>
      <w:r>
        <w:rPr>
          <w:rFonts w:ascii="Tahoma" w:eastAsia="Times New Roman" w:hAnsi="Tahoma" w:cs="Tahoma"/>
          <w:color w:val="000000"/>
          <w:sz w:val="20"/>
          <w:szCs w:val="20"/>
          <w:lang w:eastAsia="en-AU"/>
        </w:rPr>
        <w:t xml:space="preserve">FAO (2003), </w:t>
      </w:r>
      <w:r>
        <w:rPr>
          <w:rFonts w:ascii="Tahoma" w:hAnsi="Tahoma" w:cs="Tahoma"/>
          <w:sz w:val="20"/>
          <w:szCs w:val="20"/>
          <w:vertAlign w:val="superscript"/>
        </w:rPr>
        <w:t>1</w:t>
      </w:r>
      <w:r>
        <w:rPr>
          <w:rFonts w:ascii="Tahoma" w:hAnsi="Tahoma" w:cs="Tahoma"/>
          <w:sz w:val="20"/>
          <w:szCs w:val="20"/>
        </w:rPr>
        <w:t>http://www.fao.org/hunger/en/</w:t>
      </w:r>
    </w:p>
    <w:p w:rsidR="009E49A0" w:rsidRDefault="009E49A0" w:rsidP="009E49A0">
      <w:pPr>
        <w:spacing w:line="240" w:lineRule="auto"/>
        <w:ind w:left="851" w:hanging="851"/>
        <w:rPr>
          <w:rFonts w:ascii="Tahoma" w:hAnsi="Tahoma" w:cs="Tahoma"/>
          <w:sz w:val="20"/>
          <w:szCs w:val="20"/>
        </w:rPr>
      </w:pPr>
      <w:proofErr w:type="gramStart"/>
      <w:r>
        <w:rPr>
          <w:rFonts w:ascii="Tahoma" w:hAnsi="Tahoma" w:cs="Tahoma"/>
          <w:sz w:val="20"/>
          <w:szCs w:val="20"/>
        </w:rPr>
        <w:t>Indonesia Central Bureau of Statistics.</w:t>
      </w:r>
      <w:proofErr w:type="gramEnd"/>
      <w:r>
        <w:rPr>
          <w:rFonts w:ascii="Tahoma" w:hAnsi="Tahoma" w:cs="Tahoma"/>
          <w:sz w:val="20"/>
          <w:szCs w:val="20"/>
        </w:rPr>
        <w:t xml:space="preserve"> http://www.bps.go.id</w:t>
      </w:r>
    </w:p>
    <w:p w:rsidR="009E49A0" w:rsidRDefault="009E49A0" w:rsidP="009E49A0">
      <w:pPr>
        <w:shd w:val="clear" w:color="auto" w:fill="FFFFFF"/>
        <w:spacing w:line="240" w:lineRule="auto"/>
        <w:ind w:left="851" w:hanging="851"/>
        <w:textAlignment w:val="baseline"/>
        <w:rPr>
          <w:rFonts w:ascii="Tahoma" w:eastAsia="Times New Roman" w:hAnsi="Tahoma" w:cs="Tahoma"/>
          <w:color w:val="000000"/>
          <w:sz w:val="20"/>
          <w:szCs w:val="20"/>
          <w:lang w:eastAsia="en-AU"/>
        </w:rPr>
      </w:pPr>
      <w:proofErr w:type="spellStart"/>
      <w:r>
        <w:rPr>
          <w:rFonts w:ascii="Tahoma" w:eastAsia="Times New Roman" w:hAnsi="Tahoma" w:cs="Tahoma"/>
          <w:color w:val="000000"/>
          <w:sz w:val="20"/>
          <w:szCs w:val="20"/>
          <w:lang w:eastAsia="en-AU"/>
        </w:rPr>
        <w:t>Iman</w:t>
      </w:r>
      <w:proofErr w:type="spellEnd"/>
      <w:r>
        <w:rPr>
          <w:rFonts w:ascii="Tahoma" w:eastAsia="Times New Roman" w:hAnsi="Tahoma" w:cs="Tahoma"/>
          <w:color w:val="000000"/>
          <w:sz w:val="20"/>
          <w:szCs w:val="20"/>
          <w:lang w:eastAsia="en-AU"/>
        </w:rPr>
        <w:t xml:space="preserve">, P (2011), “Food Price Rises Pushing Millions into Extreme Poverty, World Bank </w:t>
      </w:r>
      <w:proofErr w:type="spellStart"/>
      <w:r>
        <w:rPr>
          <w:rFonts w:ascii="Tahoma" w:eastAsia="Times New Roman" w:hAnsi="Tahoma" w:cs="Tahoma"/>
          <w:color w:val="000000"/>
          <w:sz w:val="20"/>
          <w:szCs w:val="20"/>
          <w:lang w:eastAsia="en-AU"/>
        </w:rPr>
        <w:t>Warns”</w:t>
      </w:r>
      <w:proofErr w:type="gramStart"/>
      <w:r>
        <w:rPr>
          <w:rFonts w:ascii="Tahoma" w:eastAsia="Times New Roman" w:hAnsi="Tahoma" w:cs="Tahoma"/>
          <w:color w:val="000000"/>
          <w:sz w:val="20"/>
          <w:szCs w:val="20"/>
          <w:lang w:eastAsia="en-AU"/>
        </w:rPr>
        <w:t>,</w:t>
      </w:r>
      <w:r>
        <w:rPr>
          <w:rFonts w:ascii="Tahoma" w:eastAsia="Times New Roman" w:hAnsi="Tahoma" w:cs="Tahoma"/>
          <w:i/>
          <w:iCs/>
          <w:color w:val="000000"/>
          <w:sz w:val="20"/>
          <w:szCs w:val="20"/>
          <w:bdr w:val="none" w:sz="0" w:space="0" w:color="auto" w:frame="1"/>
          <w:lang w:eastAsia="en-AU"/>
        </w:rPr>
        <w:t>Guardian</w:t>
      </w:r>
      <w:proofErr w:type="spellEnd"/>
      <w:proofErr w:type="gramEnd"/>
      <w:r>
        <w:rPr>
          <w:rFonts w:ascii="Tahoma" w:eastAsia="Times New Roman" w:hAnsi="Tahoma" w:cs="Tahoma"/>
          <w:color w:val="000000"/>
          <w:sz w:val="20"/>
          <w:szCs w:val="20"/>
          <w:lang w:eastAsia="en-AU"/>
        </w:rPr>
        <w:t>, 14 April.</w:t>
      </w:r>
    </w:p>
    <w:p w:rsidR="009E49A0" w:rsidRDefault="009E49A0" w:rsidP="009E49A0">
      <w:pPr>
        <w:shd w:val="clear" w:color="auto" w:fill="FFFFFF"/>
        <w:spacing w:line="240" w:lineRule="auto"/>
        <w:ind w:left="851" w:hanging="851"/>
        <w:textAlignment w:val="baseline"/>
        <w:rPr>
          <w:rFonts w:ascii="Tahoma" w:eastAsia="Times New Roman" w:hAnsi="Tahoma" w:cs="Tahoma"/>
          <w:color w:val="000000"/>
          <w:sz w:val="20"/>
          <w:szCs w:val="20"/>
          <w:lang w:eastAsia="en-AU"/>
        </w:rPr>
      </w:pPr>
      <w:proofErr w:type="spellStart"/>
      <w:proofErr w:type="gramStart"/>
      <w:r>
        <w:rPr>
          <w:rFonts w:ascii="Tahoma" w:eastAsia="Times New Roman" w:hAnsi="Tahoma" w:cs="Tahoma"/>
          <w:color w:val="000000"/>
          <w:sz w:val="20"/>
          <w:szCs w:val="20"/>
          <w:lang w:eastAsia="en-AU"/>
        </w:rPr>
        <w:t>Ivanic</w:t>
      </w:r>
      <w:proofErr w:type="spellEnd"/>
      <w:r>
        <w:rPr>
          <w:rFonts w:ascii="Tahoma" w:eastAsia="Times New Roman" w:hAnsi="Tahoma" w:cs="Tahoma"/>
          <w:color w:val="000000"/>
          <w:sz w:val="20"/>
          <w:szCs w:val="20"/>
          <w:lang w:eastAsia="en-AU"/>
        </w:rPr>
        <w:t>, M and W Martin (2008), “Implications of Higher Global Food Prices for Poverty in Low-Income Countries”, World Bank Policy Research Working Paper 4594.</w:t>
      </w:r>
      <w:proofErr w:type="gramEnd"/>
    </w:p>
    <w:p w:rsidR="009E49A0" w:rsidRDefault="009E49A0" w:rsidP="009E49A0">
      <w:pPr>
        <w:shd w:val="clear" w:color="auto" w:fill="FFFFFF"/>
        <w:spacing w:line="240" w:lineRule="auto"/>
        <w:ind w:left="851" w:hanging="851"/>
        <w:textAlignment w:val="baseline"/>
        <w:rPr>
          <w:rFonts w:ascii="Tahoma" w:eastAsia="Times New Roman" w:hAnsi="Tahoma" w:cs="Tahoma"/>
          <w:color w:val="000000"/>
          <w:sz w:val="20"/>
          <w:szCs w:val="20"/>
          <w:lang w:eastAsia="en-AU"/>
        </w:rPr>
      </w:pPr>
      <w:proofErr w:type="spellStart"/>
      <w:proofErr w:type="gramStart"/>
      <w:r>
        <w:rPr>
          <w:rFonts w:ascii="Tahoma" w:eastAsia="Times New Roman" w:hAnsi="Tahoma" w:cs="Tahoma"/>
          <w:color w:val="000000"/>
          <w:sz w:val="20"/>
          <w:szCs w:val="20"/>
          <w:lang w:eastAsia="en-AU"/>
        </w:rPr>
        <w:t>Kilian</w:t>
      </w:r>
      <w:proofErr w:type="spellEnd"/>
      <w:r>
        <w:rPr>
          <w:rFonts w:ascii="Tahoma" w:eastAsia="Times New Roman" w:hAnsi="Tahoma" w:cs="Tahoma"/>
          <w:color w:val="000000"/>
          <w:sz w:val="20"/>
          <w:szCs w:val="20"/>
          <w:lang w:eastAsia="en-AU"/>
        </w:rPr>
        <w:t>, L and D P Murphy (2013), “The Role of Inventories and Speculative Trading in the Global Market for Crude Oil”, </w:t>
      </w:r>
      <w:r>
        <w:rPr>
          <w:rFonts w:ascii="Tahoma" w:eastAsia="Times New Roman" w:hAnsi="Tahoma" w:cs="Tahoma"/>
          <w:i/>
          <w:iCs/>
          <w:color w:val="000000"/>
          <w:sz w:val="20"/>
          <w:szCs w:val="20"/>
          <w:bdr w:val="none" w:sz="0" w:space="0" w:color="auto" w:frame="1"/>
          <w:lang w:eastAsia="en-AU"/>
        </w:rPr>
        <w:t>Journal of Applied Econometrics</w:t>
      </w:r>
      <w:r>
        <w:rPr>
          <w:rFonts w:ascii="Tahoma" w:eastAsia="Times New Roman" w:hAnsi="Tahoma" w:cs="Tahoma"/>
          <w:color w:val="000000"/>
          <w:sz w:val="20"/>
          <w:szCs w:val="20"/>
          <w:lang w:eastAsia="en-AU"/>
        </w:rPr>
        <w:t>, forthcoming.</w:t>
      </w:r>
      <w:proofErr w:type="gramEnd"/>
    </w:p>
    <w:p w:rsidR="009E49A0" w:rsidRDefault="009E49A0" w:rsidP="009E49A0">
      <w:pPr>
        <w:spacing w:line="240" w:lineRule="auto"/>
        <w:ind w:left="851" w:hanging="851"/>
        <w:rPr>
          <w:rFonts w:ascii="Tahoma" w:eastAsia="Times New Roman" w:hAnsi="Tahoma" w:cs="Tahoma"/>
          <w:color w:val="000000"/>
          <w:sz w:val="20"/>
          <w:szCs w:val="20"/>
          <w:lang w:eastAsia="en-AU"/>
        </w:rPr>
      </w:pPr>
      <w:proofErr w:type="spellStart"/>
      <w:r>
        <w:rPr>
          <w:rFonts w:ascii="Tahoma" w:eastAsia="Times New Roman" w:hAnsi="Tahoma" w:cs="Tahoma"/>
          <w:color w:val="000000"/>
          <w:sz w:val="20"/>
          <w:szCs w:val="20"/>
          <w:lang w:eastAsia="en-AU"/>
        </w:rPr>
        <w:t>Rosegrant</w:t>
      </w:r>
      <w:proofErr w:type="spellEnd"/>
      <w:r>
        <w:rPr>
          <w:rFonts w:ascii="Tahoma" w:eastAsia="Times New Roman" w:hAnsi="Tahoma" w:cs="Tahoma"/>
          <w:color w:val="000000"/>
          <w:sz w:val="20"/>
          <w:szCs w:val="20"/>
          <w:lang w:eastAsia="en-AU"/>
        </w:rPr>
        <w:t>, M W (2008), “Biofuels and Grain Prices: Impacts and Policy Responses”, Testimony for the US Senate Committee on Homeland Security and Governmental Affairs, 7 May.</w:t>
      </w:r>
    </w:p>
    <w:p w:rsidR="009E49A0" w:rsidRDefault="009E49A0" w:rsidP="009E49A0">
      <w:pPr>
        <w:autoSpaceDE w:val="0"/>
        <w:autoSpaceDN w:val="0"/>
        <w:adjustRightInd w:val="0"/>
        <w:spacing w:line="240" w:lineRule="auto"/>
        <w:ind w:left="851" w:hanging="851"/>
        <w:rPr>
          <w:rFonts w:ascii="Tahoma" w:hAnsi="Tahoma" w:cs="Tahoma"/>
          <w:b/>
          <w:sz w:val="20"/>
          <w:szCs w:val="20"/>
        </w:rPr>
      </w:pPr>
      <w:proofErr w:type="spellStart"/>
      <w:r>
        <w:rPr>
          <w:rFonts w:ascii="Tahoma" w:eastAsia="Times New Roman" w:hAnsi="Tahoma" w:cs="Tahoma"/>
          <w:color w:val="000000"/>
          <w:sz w:val="20"/>
          <w:szCs w:val="20"/>
          <w:lang w:eastAsia="en-AU"/>
        </w:rPr>
        <w:t>Sim</w:t>
      </w:r>
      <w:proofErr w:type="spellEnd"/>
      <w:r>
        <w:rPr>
          <w:rFonts w:ascii="Tahoma" w:eastAsia="Times New Roman" w:hAnsi="Tahoma" w:cs="Tahoma"/>
          <w:color w:val="000000"/>
          <w:sz w:val="20"/>
          <w:szCs w:val="20"/>
          <w:lang w:eastAsia="en-AU"/>
        </w:rPr>
        <w:t xml:space="preserve">, N (2016), “Panel Data”, Lecture Note </w:t>
      </w:r>
      <w:r>
        <w:rPr>
          <w:rFonts w:ascii="Tahoma" w:hAnsi="Tahoma" w:cs="Tahoma"/>
          <w:sz w:val="20"/>
          <w:szCs w:val="20"/>
        </w:rPr>
        <w:t xml:space="preserve">School of Economics University of Adelaide. </w:t>
      </w:r>
    </w:p>
    <w:p w:rsidR="009E49A0" w:rsidRDefault="009E49A0" w:rsidP="009E49A0">
      <w:pPr>
        <w:spacing w:line="240" w:lineRule="auto"/>
        <w:rPr>
          <w:rFonts w:ascii="Tahoma" w:hAnsi="Tahoma" w:cs="Tahoma"/>
          <w:b/>
          <w:sz w:val="20"/>
          <w:szCs w:val="20"/>
        </w:rPr>
      </w:pPr>
    </w:p>
    <w:p w:rsidR="009E49A0" w:rsidRDefault="009E49A0" w:rsidP="009E49A0">
      <w:pPr>
        <w:spacing w:line="240" w:lineRule="auto"/>
        <w:rPr>
          <w:rFonts w:ascii="Tahoma" w:hAnsi="Tahoma" w:cs="Tahoma"/>
          <w:b/>
          <w:sz w:val="20"/>
          <w:szCs w:val="20"/>
        </w:rPr>
      </w:pPr>
    </w:p>
    <w:p w:rsidR="009E49A0" w:rsidRDefault="009E49A0" w:rsidP="009E49A0">
      <w:pPr>
        <w:spacing w:line="240" w:lineRule="auto"/>
        <w:jc w:val="left"/>
        <w:rPr>
          <w:rFonts w:ascii="Tahoma" w:hAnsi="Tahoma" w:cs="Tahoma"/>
          <w:b/>
          <w:sz w:val="20"/>
          <w:szCs w:val="20"/>
        </w:rPr>
        <w:sectPr w:rsidR="009E49A0">
          <w:type w:val="continuous"/>
          <w:pgSz w:w="11907" w:h="16840"/>
          <w:pgMar w:top="1531" w:right="1417" w:bottom="1418" w:left="1701" w:header="964" w:footer="636" w:gutter="0"/>
          <w:cols w:num="2" w:space="283"/>
        </w:sectPr>
      </w:pPr>
    </w:p>
    <w:p w:rsidR="009E49A0" w:rsidRDefault="009E49A0" w:rsidP="009E49A0">
      <w:pPr>
        <w:spacing w:after="120" w:line="240" w:lineRule="auto"/>
        <w:rPr>
          <w:rFonts w:ascii="Tahoma" w:hAnsi="Tahoma" w:cs="Tahoma"/>
          <w:b/>
          <w:sz w:val="20"/>
          <w:szCs w:val="20"/>
        </w:rPr>
      </w:pPr>
      <w:r>
        <w:rPr>
          <w:rFonts w:ascii="Tahoma" w:hAnsi="Tahoma" w:cs="Tahoma"/>
          <w:b/>
          <w:sz w:val="20"/>
          <w:szCs w:val="20"/>
        </w:rPr>
        <w:lastRenderedPageBreak/>
        <w:t xml:space="preserve">Appendix </w:t>
      </w:r>
    </w:p>
    <w:tbl>
      <w:tblPr>
        <w:tblW w:w="4850" w:type="pct"/>
        <w:tblInd w:w="108" w:type="dxa"/>
        <w:tblLook w:val="04A0" w:firstRow="1" w:lastRow="0" w:firstColumn="1" w:lastColumn="0" w:noHBand="0" w:noVBand="1"/>
      </w:tblPr>
      <w:tblGrid>
        <w:gridCol w:w="2166"/>
        <w:gridCol w:w="1445"/>
        <w:gridCol w:w="868"/>
        <w:gridCol w:w="2023"/>
        <w:gridCol w:w="1468"/>
        <w:gridCol w:w="995"/>
      </w:tblGrid>
      <w:tr w:rsidR="009E49A0" w:rsidTr="009E49A0">
        <w:trPr>
          <w:trHeight w:val="7"/>
        </w:trPr>
        <w:tc>
          <w:tcPr>
            <w:tcW w:w="1208" w:type="pct"/>
            <w:vMerge w:val="restart"/>
            <w:tcBorders>
              <w:top w:val="single" w:sz="4" w:space="0" w:color="auto"/>
              <w:left w:val="single" w:sz="4" w:space="0" w:color="auto"/>
              <w:bottom w:val="single" w:sz="4" w:space="0" w:color="000000"/>
              <w:right w:val="single" w:sz="4" w:space="0" w:color="auto"/>
            </w:tcBorders>
            <w:noWrap/>
            <w:vAlign w:val="center"/>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Province Name</w:t>
            </w:r>
          </w:p>
        </w:tc>
        <w:tc>
          <w:tcPr>
            <w:tcW w:w="806" w:type="pct"/>
            <w:tcBorders>
              <w:top w:val="single" w:sz="4" w:space="0" w:color="auto"/>
              <w:left w:val="nil"/>
              <w:bottom w:val="nil"/>
              <w:right w:val="single" w:sz="4" w:space="0" w:color="auto"/>
            </w:tcBorders>
            <w:vAlign w:val="center"/>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Province Number</w:t>
            </w:r>
          </w:p>
        </w:tc>
        <w:tc>
          <w:tcPr>
            <w:tcW w:w="484" w:type="pct"/>
            <w:tcBorders>
              <w:top w:val="single" w:sz="4" w:space="0" w:color="auto"/>
              <w:left w:val="nil"/>
              <w:bottom w:val="single" w:sz="4" w:space="0" w:color="auto"/>
              <w:right w:val="single" w:sz="4" w:space="0" w:color="auto"/>
            </w:tcBorders>
            <w:noWrap/>
            <w:vAlign w:val="center"/>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Year</w:t>
            </w:r>
          </w:p>
        </w:tc>
        <w:tc>
          <w:tcPr>
            <w:tcW w:w="1128" w:type="pct"/>
            <w:tcBorders>
              <w:top w:val="single" w:sz="4" w:space="0" w:color="auto"/>
              <w:left w:val="nil"/>
              <w:bottom w:val="single" w:sz="4" w:space="0" w:color="auto"/>
              <w:right w:val="single" w:sz="4" w:space="0" w:color="auto"/>
            </w:tcBorders>
            <w:vAlign w:val="center"/>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IHK</w:t>
            </w:r>
          </w:p>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CPI</w:t>
            </w:r>
          </w:p>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(Costumer Price Index)</w:t>
            </w:r>
          </w:p>
        </w:tc>
        <w:tc>
          <w:tcPr>
            <w:tcW w:w="819" w:type="pct"/>
            <w:tcBorders>
              <w:top w:val="single" w:sz="4" w:space="0" w:color="auto"/>
              <w:left w:val="nil"/>
              <w:bottom w:val="single" w:sz="4" w:space="0" w:color="auto"/>
              <w:right w:val="single" w:sz="4" w:space="0" w:color="auto"/>
            </w:tcBorders>
            <w:vAlign w:val="center"/>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 xml:space="preserve">Price of Retail </w:t>
            </w:r>
            <w:proofErr w:type="spellStart"/>
            <w:r>
              <w:rPr>
                <w:rFonts w:ascii="Tahoma" w:eastAsia="Times New Roman" w:hAnsi="Tahoma" w:cs="Tahoma"/>
                <w:color w:val="000000"/>
                <w:sz w:val="16"/>
                <w:szCs w:val="16"/>
                <w:lang w:eastAsia="en-AU"/>
              </w:rPr>
              <w:t>Gassoline</w:t>
            </w:r>
            <w:proofErr w:type="spellEnd"/>
            <w:r>
              <w:rPr>
                <w:rFonts w:ascii="Tahoma" w:eastAsia="Times New Roman" w:hAnsi="Tahoma" w:cs="Tahoma"/>
                <w:color w:val="000000"/>
                <w:sz w:val="16"/>
                <w:szCs w:val="16"/>
                <w:lang w:eastAsia="en-AU"/>
              </w:rPr>
              <w:t xml:space="preserve">            (IDR)</w:t>
            </w:r>
          </w:p>
        </w:tc>
        <w:tc>
          <w:tcPr>
            <w:tcW w:w="556" w:type="pct"/>
            <w:tcBorders>
              <w:top w:val="single" w:sz="4" w:space="0" w:color="auto"/>
              <w:left w:val="nil"/>
              <w:bottom w:val="single" w:sz="4" w:space="0" w:color="auto"/>
              <w:right w:val="single" w:sz="4" w:space="0" w:color="auto"/>
            </w:tcBorders>
            <w:vAlign w:val="center"/>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 xml:space="preserve"> Price of Retail Diesel            (IDR) </w:t>
            </w:r>
          </w:p>
        </w:tc>
      </w:tr>
      <w:tr w:rsidR="009E49A0" w:rsidTr="009E49A0">
        <w:trPr>
          <w:trHeight w:val="1"/>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9E49A0" w:rsidRDefault="009E49A0">
            <w:pPr>
              <w:spacing w:line="240" w:lineRule="auto"/>
              <w:jc w:val="left"/>
              <w:rPr>
                <w:rFonts w:ascii="Tahoma" w:eastAsia="Times New Roman" w:hAnsi="Tahoma" w:cs="Tahoma"/>
                <w:color w:val="000000"/>
                <w:sz w:val="16"/>
                <w:szCs w:val="16"/>
                <w:lang w:eastAsia="en-AU"/>
              </w:rPr>
            </w:pPr>
          </w:p>
        </w:tc>
        <w:tc>
          <w:tcPr>
            <w:tcW w:w="806" w:type="pct"/>
            <w:tcBorders>
              <w:top w:val="single" w:sz="4" w:space="0" w:color="auto"/>
              <w:left w:val="nil"/>
              <w:bottom w:val="single" w:sz="4" w:space="0" w:color="auto"/>
              <w:right w:val="single" w:sz="4" w:space="0" w:color="auto"/>
            </w:tcBorders>
            <w:noWrap/>
            <w:vAlign w:val="center"/>
            <w:hideMark/>
          </w:tcPr>
          <w:p w:rsidR="009E49A0" w:rsidRDefault="009E49A0">
            <w:pPr>
              <w:spacing w:line="240" w:lineRule="auto"/>
              <w:jc w:val="center"/>
              <w:rPr>
                <w:rFonts w:ascii="Tahoma" w:eastAsia="Times New Roman" w:hAnsi="Tahoma" w:cs="Tahoma"/>
                <w:color w:val="000000"/>
                <w:sz w:val="16"/>
                <w:szCs w:val="16"/>
                <w:lang w:eastAsia="en-AU"/>
              </w:rPr>
            </w:pPr>
            <w:proofErr w:type="spellStart"/>
            <w:r>
              <w:rPr>
                <w:rFonts w:ascii="Tahoma" w:eastAsia="Times New Roman" w:hAnsi="Tahoma" w:cs="Tahoma"/>
                <w:color w:val="000000"/>
                <w:sz w:val="16"/>
                <w:szCs w:val="16"/>
                <w:lang w:eastAsia="en-AU"/>
              </w:rPr>
              <w:t>i</w:t>
            </w:r>
            <w:proofErr w:type="spellEnd"/>
          </w:p>
        </w:tc>
        <w:tc>
          <w:tcPr>
            <w:tcW w:w="484" w:type="pct"/>
            <w:tcBorders>
              <w:top w:val="nil"/>
              <w:left w:val="nil"/>
              <w:bottom w:val="single" w:sz="4" w:space="0" w:color="auto"/>
              <w:right w:val="single" w:sz="4" w:space="0" w:color="auto"/>
            </w:tcBorders>
            <w:noWrap/>
            <w:vAlign w:val="center"/>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t</w:t>
            </w:r>
          </w:p>
        </w:tc>
        <w:tc>
          <w:tcPr>
            <w:tcW w:w="1128" w:type="pct"/>
            <w:tcBorders>
              <w:top w:val="nil"/>
              <w:left w:val="nil"/>
              <w:bottom w:val="single" w:sz="4" w:space="0" w:color="auto"/>
              <w:right w:val="single" w:sz="4" w:space="0" w:color="auto"/>
            </w:tcBorders>
            <w:noWrap/>
            <w:vAlign w:val="center"/>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 xml:space="preserve"> Y </w:t>
            </w:r>
          </w:p>
        </w:tc>
        <w:tc>
          <w:tcPr>
            <w:tcW w:w="819" w:type="pct"/>
            <w:tcBorders>
              <w:top w:val="nil"/>
              <w:left w:val="nil"/>
              <w:bottom w:val="single" w:sz="4" w:space="0" w:color="auto"/>
              <w:right w:val="single" w:sz="4" w:space="0" w:color="auto"/>
            </w:tcBorders>
            <w:vAlign w:val="center"/>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X1</w:t>
            </w:r>
          </w:p>
        </w:tc>
        <w:tc>
          <w:tcPr>
            <w:tcW w:w="556" w:type="pct"/>
            <w:tcBorders>
              <w:top w:val="nil"/>
              <w:left w:val="nil"/>
              <w:bottom w:val="single" w:sz="4" w:space="0" w:color="auto"/>
              <w:right w:val="single" w:sz="4" w:space="0" w:color="auto"/>
            </w:tcBorders>
            <w:noWrap/>
            <w:vAlign w:val="bottom"/>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 xml:space="preserve"> X2 </w:t>
            </w:r>
          </w:p>
        </w:tc>
      </w:tr>
      <w:tr w:rsidR="009E49A0" w:rsidTr="009E49A0">
        <w:trPr>
          <w:trHeight w:val="185"/>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Aceh</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148.33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6,183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Aceh</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114.52</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8,127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Aceh</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121.49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8,791</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North Sumatra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160.55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5,886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North Sumatra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117.44</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7,903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North Sumatra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124.45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8,358</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Sumatra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177.75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6,280</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Sumatra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115.89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7,904</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Sumatra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131.13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8,506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Riau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4</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162.31</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6,490</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Riau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4</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115.97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8,217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Riau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4</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123.98</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8,834</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Jambi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167.67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6,898</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Jambi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116.43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8,722</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Jambi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118.07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9,285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Sumatra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170.66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6,662</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Sumatra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112.07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7,654</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Sumatra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118.34</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8,125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Bengkulu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183.76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6,563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Bengkulu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123.35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8,449</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Bengkulu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134.31</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9,060</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Lampung</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177.89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6,427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Lampung</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118.26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8,101</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Lampung</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130.63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8,795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Bangka Belitung Island</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173.28</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6,450</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Bangka Belitung Island</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114.00</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8,433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Bangka Belitung Island</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120.36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8,996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Riau Island</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171.76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6,063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Riau Island</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120.61</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7,558</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Riau Island</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128.10</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8,122</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Jakarta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182.42</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6,361</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Jakarta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123.81</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7,251</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single" w:sz="4" w:space="0" w:color="auto"/>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Jakarta</w:t>
            </w:r>
          </w:p>
        </w:tc>
        <w:tc>
          <w:tcPr>
            <w:tcW w:w="80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w:t>
            </w:r>
          </w:p>
        </w:tc>
        <w:tc>
          <w:tcPr>
            <w:tcW w:w="484"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133.17</w:t>
            </w:r>
          </w:p>
        </w:tc>
        <w:tc>
          <w:tcPr>
            <w:tcW w:w="819"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7,688</w:t>
            </w:r>
          </w:p>
        </w:tc>
        <w:tc>
          <w:tcPr>
            <w:tcW w:w="55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Java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166.25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5,387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Java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118.95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7,322</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Java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128.84</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7,813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Central Java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168.28</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5,346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Central Java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119.40</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7,428</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Central Java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129.17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7,937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Yogyakarta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14</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183.62</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5,307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Yogyakarta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14</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121.47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7,257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Yogyakarta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14</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128.45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7,682</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East Java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15</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180.40</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5,369</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East Java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15</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118.75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7,385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East Java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15</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126.48</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7,906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proofErr w:type="spellStart"/>
            <w:r>
              <w:rPr>
                <w:rFonts w:ascii="Tahoma" w:eastAsia="Times New Roman" w:hAnsi="Tahoma" w:cs="Tahoma"/>
                <w:color w:val="000000"/>
                <w:sz w:val="16"/>
                <w:szCs w:val="16"/>
                <w:lang w:eastAsia="en-AU"/>
              </w:rPr>
              <w:t>Banten</w:t>
            </w:r>
            <w:proofErr w:type="spellEnd"/>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173.96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5,488</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proofErr w:type="spellStart"/>
            <w:r>
              <w:rPr>
                <w:rFonts w:ascii="Tahoma" w:eastAsia="Times New Roman" w:hAnsi="Tahoma" w:cs="Tahoma"/>
                <w:color w:val="000000"/>
                <w:sz w:val="16"/>
                <w:szCs w:val="16"/>
                <w:lang w:eastAsia="en-AU"/>
              </w:rPr>
              <w:t>Banten</w:t>
            </w:r>
            <w:proofErr w:type="spellEnd"/>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123.13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7,264</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proofErr w:type="spellStart"/>
            <w:r>
              <w:rPr>
                <w:rFonts w:ascii="Tahoma" w:eastAsia="Times New Roman" w:hAnsi="Tahoma" w:cs="Tahoma"/>
                <w:color w:val="000000"/>
                <w:sz w:val="16"/>
                <w:szCs w:val="16"/>
                <w:lang w:eastAsia="en-AU"/>
              </w:rPr>
              <w:t>Banten</w:t>
            </w:r>
            <w:proofErr w:type="spellEnd"/>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134.57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7,782</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Bali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187.53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5,366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Bali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116.77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7,469</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Bali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126.49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7,644</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Nusa Tenggara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191.05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5,649</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Nusa Tenggara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118.51</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7,519</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Nusa Tenggara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123.62</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8,067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East Nusa Tenggara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19</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167.65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6,293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East Nusa Tenggara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19</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108.39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8,564</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East Nusa Tenggara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19</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114.67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9,345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Kalimantan</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185.35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8,617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Kalimantan</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117.39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10,887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Kalimantan</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129.98</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11,605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Central Kalimantan</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21</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192.55</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6,321</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single" w:sz="4" w:space="0" w:color="auto"/>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Central Kalimantan</w:t>
            </w:r>
          </w:p>
        </w:tc>
        <w:tc>
          <w:tcPr>
            <w:tcW w:w="80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21</w:t>
            </w:r>
          </w:p>
        </w:tc>
        <w:tc>
          <w:tcPr>
            <w:tcW w:w="484"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114.67</w:t>
            </w:r>
          </w:p>
        </w:tc>
        <w:tc>
          <w:tcPr>
            <w:tcW w:w="819"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7,951</w:t>
            </w:r>
          </w:p>
        </w:tc>
        <w:tc>
          <w:tcPr>
            <w:tcW w:w="55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single" w:sz="4" w:space="0" w:color="auto"/>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lastRenderedPageBreak/>
              <w:t>Central Kalimantan</w:t>
            </w:r>
          </w:p>
        </w:tc>
        <w:tc>
          <w:tcPr>
            <w:tcW w:w="80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21</w:t>
            </w:r>
          </w:p>
        </w:tc>
        <w:tc>
          <w:tcPr>
            <w:tcW w:w="484"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122.10</w:t>
            </w:r>
          </w:p>
        </w:tc>
        <w:tc>
          <w:tcPr>
            <w:tcW w:w="819"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8,770</w:t>
            </w:r>
          </w:p>
        </w:tc>
        <w:tc>
          <w:tcPr>
            <w:tcW w:w="55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single" w:sz="4" w:space="0" w:color="auto"/>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Kalimantan</w:t>
            </w:r>
          </w:p>
        </w:tc>
        <w:tc>
          <w:tcPr>
            <w:tcW w:w="80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22</w:t>
            </w:r>
          </w:p>
        </w:tc>
        <w:tc>
          <w:tcPr>
            <w:tcW w:w="484"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182.79</w:t>
            </w:r>
          </w:p>
        </w:tc>
        <w:tc>
          <w:tcPr>
            <w:tcW w:w="819"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6,389</w:t>
            </w:r>
          </w:p>
        </w:tc>
        <w:tc>
          <w:tcPr>
            <w:tcW w:w="55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single" w:sz="4" w:space="0" w:color="auto"/>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Kalimantan</w:t>
            </w:r>
          </w:p>
        </w:tc>
        <w:tc>
          <w:tcPr>
            <w:tcW w:w="80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22</w:t>
            </w:r>
          </w:p>
        </w:tc>
        <w:tc>
          <w:tcPr>
            <w:tcW w:w="484"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117.35</w:t>
            </w:r>
          </w:p>
        </w:tc>
        <w:tc>
          <w:tcPr>
            <w:tcW w:w="819"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8,209</w:t>
            </w:r>
          </w:p>
        </w:tc>
        <w:tc>
          <w:tcPr>
            <w:tcW w:w="55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single" w:sz="4" w:space="0" w:color="auto"/>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Kalimantan</w:t>
            </w:r>
          </w:p>
        </w:tc>
        <w:tc>
          <w:tcPr>
            <w:tcW w:w="80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22</w:t>
            </w:r>
          </w:p>
        </w:tc>
        <w:tc>
          <w:tcPr>
            <w:tcW w:w="484"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125.36</w:t>
            </w:r>
          </w:p>
        </w:tc>
        <w:tc>
          <w:tcPr>
            <w:tcW w:w="819"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8,910</w:t>
            </w:r>
          </w:p>
        </w:tc>
        <w:tc>
          <w:tcPr>
            <w:tcW w:w="556" w:type="pct"/>
            <w:tcBorders>
              <w:top w:val="single" w:sz="4" w:space="0" w:color="auto"/>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East Kalimantan</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187.81</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6,592</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East Kalimantan</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116.79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8,110</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East Kalimantan</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123.46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8,827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North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24</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182.57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6,534</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North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24</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117.70</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8,590</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North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24</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132.23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9,077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Central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25</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171.29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6,304</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Central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25</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114.57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7,773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Central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25</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120.33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8,625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26</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171.48</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5,709</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26</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113.43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7,480</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26</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130.33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8,243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East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27</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183.76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6,695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East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27</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107.89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8,506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South East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27</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116.60</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9,135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proofErr w:type="spellStart"/>
            <w:r>
              <w:rPr>
                <w:rFonts w:ascii="Tahoma" w:eastAsia="Times New Roman" w:hAnsi="Tahoma" w:cs="Tahoma"/>
                <w:color w:val="000000"/>
                <w:sz w:val="16"/>
                <w:szCs w:val="16"/>
                <w:lang w:eastAsia="en-AU"/>
              </w:rPr>
              <w:t>Gorontalo</w:t>
            </w:r>
            <w:proofErr w:type="spellEnd"/>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28</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163.02</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5,697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proofErr w:type="spellStart"/>
            <w:r>
              <w:rPr>
                <w:rFonts w:ascii="Tahoma" w:eastAsia="Times New Roman" w:hAnsi="Tahoma" w:cs="Tahoma"/>
                <w:color w:val="000000"/>
                <w:sz w:val="16"/>
                <w:szCs w:val="16"/>
                <w:lang w:eastAsia="en-AU"/>
              </w:rPr>
              <w:t>Gorontalo</w:t>
            </w:r>
            <w:proofErr w:type="spellEnd"/>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28</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106.36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7,323</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proofErr w:type="spellStart"/>
            <w:r>
              <w:rPr>
                <w:rFonts w:ascii="Tahoma" w:eastAsia="Times New Roman" w:hAnsi="Tahoma" w:cs="Tahoma"/>
                <w:color w:val="000000"/>
                <w:sz w:val="16"/>
                <w:szCs w:val="16"/>
                <w:lang w:eastAsia="en-AU"/>
              </w:rPr>
              <w:t>Gorontalo</w:t>
            </w:r>
            <w:proofErr w:type="spellEnd"/>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28</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111.81</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7,896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29</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170.42</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5,861</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29</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109.32</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7,369</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Sulawesi</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29</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120.43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8,027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Maluku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30</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181.27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7,831</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Maluku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30</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117.72</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10,087</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Maluku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30</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129.32</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10,730</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North Maluku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31</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170.14</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7,658</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North Maluku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31</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110.86</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9,585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North Maluku</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31</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119.63</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10,144</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Papua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32</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167.17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6,656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Papua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32</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111.74</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8,716</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West Papua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32</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114.59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9,358</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Papua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2013</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154.69</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8,581</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5,500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Papua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2014</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116.84</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10,928</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7,500</w:t>
            </w:r>
          </w:p>
        </w:tc>
      </w:tr>
      <w:tr w:rsidR="009E49A0" w:rsidTr="009E49A0">
        <w:trPr>
          <w:trHeight w:val="1"/>
        </w:trPr>
        <w:tc>
          <w:tcPr>
            <w:tcW w:w="1208" w:type="pct"/>
            <w:tcBorders>
              <w:top w:val="nil"/>
              <w:left w:val="single" w:sz="4" w:space="0" w:color="auto"/>
              <w:bottom w:val="single" w:sz="4" w:space="0" w:color="auto"/>
              <w:right w:val="single" w:sz="4" w:space="0" w:color="auto"/>
            </w:tcBorders>
            <w:noWrap/>
            <w:hideMark/>
          </w:tcPr>
          <w:p w:rsidR="009E49A0" w:rsidRDefault="009E49A0">
            <w:pPr>
              <w:spacing w:line="240" w:lineRule="auto"/>
              <w:jc w:val="left"/>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Papua</w:t>
            </w:r>
          </w:p>
        </w:tc>
        <w:tc>
          <w:tcPr>
            <w:tcW w:w="80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33</w:t>
            </w:r>
          </w:p>
        </w:tc>
        <w:tc>
          <w:tcPr>
            <w:tcW w:w="484"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2015</w:t>
            </w:r>
          </w:p>
        </w:tc>
        <w:tc>
          <w:tcPr>
            <w:tcW w:w="1128"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126.67</w:t>
            </w:r>
          </w:p>
        </w:tc>
        <w:tc>
          <w:tcPr>
            <w:tcW w:w="819"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11,915</w:t>
            </w:r>
          </w:p>
        </w:tc>
        <w:tc>
          <w:tcPr>
            <w:tcW w:w="556" w:type="pct"/>
            <w:tcBorders>
              <w:top w:val="nil"/>
              <w:left w:val="nil"/>
              <w:bottom w:val="single" w:sz="4" w:space="0" w:color="auto"/>
              <w:right w:val="single" w:sz="4" w:space="0" w:color="auto"/>
            </w:tcBorders>
            <w:noWrap/>
            <w:hideMark/>
          </w:tcPr>
          <w:p w:rsidR="009E49A0" w:rsidRDefault="009E49A0">
            <w:pPr>
              <w:spacing w:line="240" w:lineRule="auto"/>
              <w:jc w:val="center"/>
              <w:rPr>
                <w:rFonts w:ascii="Tahoma" w:eastAsia="Times New Roman" w:hAnsi="Tahoma" w:cs="Tahoma"/>
                <w:color w:val="000000"/>
                <w:sz w:val="16"/>
                <w:szCs w:val="16"/>
                <w:lang w:eastAsia="en-AU"/>
              </w:rPr>
            </w:pPr>
            <w:r>
              <w:rPr>
                <w:rFonts w:ascii="Tahoma" w:eastAsia="Times New Roman" w:hAnsi="Tahoma" w:cs="Tahoma"/>
                <w:color w:val="000000"/>
                <w:sz w:val="16"/>
                <w:szCs w:val="16"/>
                <w:lang w:eastAsia="en-AU"/>
              </w:rPr>
              <w:t>6,900</w:t>
            </w:r>
          </w:p>
        </w:tc>
      </w:tr>
    </w:tbl>
    <w:p w:rsidR="009E49A0" w:rsidRDefault="009E49A0" w:rsidP="009E49A0">
      <w:pPr>
        <w:spacing w:line="240" w:lineRule="auto"/>
        <w:rPr>
          <w:rFonts w:ascii="Tahoma" w:hAnsi="Tahoma" w:cs="Tahoma"/>
          <w:sz w:val="20"/>
          <w:szCs w:val="20"/>
        </w:rPr>
      </w:pPr>
      <w:r>
        <w:rPr>
          <w:rFonts w:ascii="Tahoma" w:hAnsi="Tahoma" w:cs="Tahoma"/>
          <w:sz w:val="20"/>
          <w:szCs w:val="20"/>
        </w:rPr>
        <w:t>Source: Indonesia Central Bureau of Statistics. http://www.bps.go.id</w:t>
      </w:r>
    </w:p>
    <w:p w:rsidR="009E49A0" w:rsidRDefault="009E49A0" w:rsidP="009E49A0">
      <w:pPr>
        <w:spacing w:line="240" w:lineRule="auto"/>
        <w:rPr>
          <w:rFonts w:ascii="Tahoma" w:hAnsi="Tahoma" w:cs="Tahoma"/>
          <w:sz w:val="20"/>
          <w:szCs w:val="20"/>
        </w:rPr>
      </w:pPr>
    </w:p>
    <w:p w:rsidR="009E49A0" w:rsidRDefault="009E49A0" w:rsidP="009E49A0">
      <w:pPr>
        <w:spacing w:line="240" w:lineRule="auto"/>
        <w:rPr>
          <w:rFonts w:ascii="Tahoma" w:hAnsi="Tahoma" w:cs="Tahoma"/>
          <w:sz w:val="20"/>
          <w:szCs w:val="20"/>
        </w:rPr>
      </w:pPr>
    </w:p>
    <w:p w:rsidR="009E49A0" w:rsidRDefault="009E49A0" w:rsidP="009E49A0">
      <w:pPr>
        <w:spacing w:line="240" w:lineRule="auto"/>
        <w:rPr>
          <w:rFonts w:ascii="Tahoma" w:hAnsi="Tahoma" w:cs="Tahoma"/>
          <w:sz w:val="20"/>
          <w:szCs w:val="20"/>
        </w:rPr>
      </w:pPr>
    </w:p>
    <w:p w:rsidR="009E49A0" w:rsidRDefault="009E49A0" w:rsidP="009E49A0">
      <w:pPr>
        <w:spacing w:line="240" w:lineRule="auto"/>
        <w:rPr>
          <w:rFonts w:ascii="Tahoma" w:hAnsi="Tahoma" w:cs="Tahoma"/>
          <w:sz w:val="20"/>
          <w:szCs w:val="20"/>
        </w:rPr>
      </w:pPr>
    </w:p>
    <w:p w:rsidR="009E49A0" w:rsidRDefault="009E49A0" w:rsidP="009E49A0">
      <w:pPr>
        <w:spacing w:line="240" w:lineRule="auto"/>
        <w:rPr>
          <w:rFonts w:ascii="Tahoma" w:hAnsi="Tahoma" w:cs="Tahoma"/>
          <w:sz w:val="20"/>
          <w:szCs w:val="20"/>
        </w:rPr>
      </w:pPr>
    </w:p>
    <w:p w:rsidR="009E49A0" w:rsidRDefault="009E49A0" w:rsidP="009E49A0">
      <w:pPr>
        <w:spacing w:line="240" w:lineRule="auto"/>
        <w:rPr>
          <w:rFonts w:ascii="Tahoma" w:hAnsi="Tahoma" w:cs="Tahoma"/>
          <w:sz w:val="20"/>
          <w:szCs w:val="20"/>
        </w:rPr>
      </w:pPr>
    </w:p>
    <w:p w:rsidR="009E49A0" w:rsidRDefault="009E49A0" w:rsidP="009E49A0">
      <w:pPr>
        <w:spacing w:line="240" w:lineRule="auto"/>
        <w:rPr>
          <w:rFonts w:ascii="Tahoma" w:hAnsi="Tahoma" w:cs="Tahoma"/>
          <w:sz w:val="20"/>
          <w:szCs w:val="20"/>
        </w:rPr>
      </w:pPr>
    </w:p>
    <w:p w:rsidR="00305261" w:rsidRDefault="00305261">
      <w:bookmarkStart w:id="0" w:name="_GoBack"/>
      <w:bookmarkEnd w:id="0"/>
    </w:p>
    <w:sectPr w:rsidR="003052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806F0B"/>
    <w:multiLevelType w:val="hybridMultilevel"/>
    <w:tmpl w:val="B3204A2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nsid w:val="3D3F5F89"/>
    <w:multiLevelType w:val="hybridMultilevel"/>
    <w:tmpl w:val="918AD91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num w:numId="1">
    <w:abstractNumId w:val="0"/>
  </w:num>
  <w:num w:numId="2">
    <w:abstractNumId w:val="0"/>
    <w:lvlOverride w:ilvl="0"/>
    <w:lvlOverride w:ilvl="1"/>
    <w:lvlOverride w:ilvl="2"/>
    <w:lvlOverride w:ilvl="3"/>
    <w:lvlOverride w:ilvl="4"/>
    <w:lvlOverride w:ilvl="5"/>
    <w:lvlOverride w:ilvl="6"/>
    <w:lvlOverride w:ilvl="7"/>
    <w:lvlOverride w:ilvl="8"/>
  </w:num>
  <w:num w:numId="3">
    <w:abstractNumId w:val="1"/>
  </w:num>
  <w:num w:numId="4">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9A0"/>
    <w:rsid w:val="00305261"/>
    <w:rsid w:val="009E49A0"/>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34"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49A0"/>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qFormat/>
    <w:rsid w:val="009E49A0"/>
    <w:rPr>
      <w:color w:val="0000FF"/>
      <w:u w:val="single"/>
    </w:rPr>
  </w:style>
  <w:style w:type="character" w:styleId="FollowedHyperlink">
    <w:name w:val="FollowedHyperlink"/>
    <w:basedOn w:val="DefaultParagraphFont"/>
    <w:uiPriority w:val="99"/>
    <w:semiHidden/>
    <w:unhideWhenUsed/>
    <w:rsid w:val="009E49A0"/>
    <w:rPr>
      <w:color w:val="800080" w:themeColor="followedHyperlink"/>
      <w:u w:val="single"/>
    </w:rPr>
  </w:style>
  <w:style w:type="character" w:customStyle="1" w:styleId="NormalWebChar">
    <w:name w:val="Normal (Web) Char"/>
    <w:link w:val="NormalWeb"/>
    <w:uiPriority w:val="99"/>
    <w:semiHidden/>
    <w:qFormat/>
    <w:locked/>
    <w:rsid w:val="009E49A0"/>
    <w:rPr>
      <w:rFonts w:ascii="Times New Roman" w:eastAsia="Times New Roman" w:hAnsi="Times New Roman" w:cs="Times New Roman"/>
      <w:sz w:val="24"/>
      <w:szCs w:val="24"/>
      <w:lang w:val="x-none" w:eastAsia="x-none"/>
    </w:rPr>
  </w:style>
  <w:style w:type="paragraph" w:styleId="NormalWeb">
    <w:name w:val="Normal (Web)"/>
    <w:basedOn w:val="Normal"/>
    <w:link w:val="NormalWebChar"/>
    <w:uiPriority w:val="99"/>
    <w:semiHidden/>
    <w:unhideWhenUsed/>
    <w:rsid w:val="009E49A0"/>
    <w:pPr>
      <w:spacing w:before="100" w:beforeAutospacing="1" w:after="100" w:afterAutospacing="1" w:line="240" w:lineRule="auto"/>
      <w:jc w:val="left"/>
    </w:pPr>
    <w:rPr>
      <w:rFonts w:ascii="Times New Roman" w:eastAsia="Times New Roman" w:hAnsi="Times New Roman"/>
      <w:sz w:val="24"/>
      <w:szCs w:val="24"/>
      <w:lang w:val="x-none" w:eastAsia="x-none"/>
    </w:rPr>
  </w:style>
  <w:style w:type="paragraph" w:styleId="Header">
    <w:name w:val="header"/>
    <w:basedOn w:val="Normal"/>
    <w:link w:val="HeaderChar"/>
    <w:uiPriority w:val="99"/>
    <w:semiHidden/>
    <w:unhideWhenUsed/>
    <w:rsid w:val="009E49A0"/>
    <w:pPr>
      <w:tabs>
        <w:tab w:val="center" w:pos="4680"/>
        <w:tab w:val="right" w:pos="9360"/>
      </w:tabs>
      <w:spacing w:line="240" w:lineRule="auto"/>
    </w:pPr>
  </w:style>
  <w:style w:type="character" w:customStyle="1" w:styleId="HeaderChar">
    <w:name w:val="Header Char"/>
    <w:basedOn w:val="DefaultParagraphFont"/>
    <w:link w:val="Header"/>
    <w:uiPriority w:val="99"/>
    <w:semiHidden/>
    <w:qFormat/>
    <w:rsid w:val="009E49A0"/>
    <w:rPr>
      <w:rFonts w:ascii="Calibri" w:eastAsia="Calibri" w:hAnsi="Calibri" w:cs="Times New Roman"/>
      <w:lang w:val="en-US"/>
    </w:rPr>
  </w:style>
  <w:style w:type="paragraph" w:customStyle="1" w:styleId="Default">
    <w:name w:val="Default"/>
    <w:uiPriority w:val="99"/>
    <w:qFormat/>
    <w:rsid w:val="009E49A0"/>
    <w:pPr>
      <w:autoSpaceDE w:val="0"/>
      <w:autoSpaceDN w:val="0"/>
      <w:adjustRightInd w:val="0"/>
      <w:spacing w:after="0" w:line="240" w:lineRule="auto"/>
    </w:pPr>
    <w:rPr>
      <w:rFonts w:ascii="Times New Roman" w:eastAsia="Times New Roman" w:hAnsi="Times New Roman" w:cs="Times New Roman"/>
      <w:color w:val="000000"/>
      <w:sz w:val="24"/>
      <w:szCs w:val="24"/>
      <w:lang w:eastAsia="id-ID"/>
    </w:rPr>
  </w:style>
  <w:style w:type="paragraph" w:customStyle="1" w:styleId="Abstract">
    <w:name w:val="Abstract"/>
    <w:uiPriority w:val="99"/>
    <w:rsid w:val="009E49A0"/>
    <w:pPr>
      <w:spacing w:after="454" w:line="240" w:lineRule="auto"/>
      <w:ind w:left="1418"/>
      <w:jc w:val="both"/>
    </w:pPr>
    <w:rPr>
      <w:rFonts w:ascii="Times" w:eastAsia="Times New Roman" w:hAnsi="Times" w:cs="Times New Roman"/>
      <w:color w:val="000000"/>
      <w:sz w:val="20"/>
      <w:szCs w:val="20"/>
      <w:lang w:val="en-GB"/>
    </w:rPr>
  </w:style>
  <w:style w:type="table" w:styleId="ColorfulList-Accent1">
    <w:name w:val="Colorful List Accent 1"/>
    <w:basedOn w:val="TableNormal"/>
    <w:link w:val="ColorfulList-Accent1Char1"/>
    <w:uiPriority w:val="34"/>
    <w:rsid w:val="009E49A0"/>
    <w:pPr>
      <w:spacing w:after="0" w:line="240" w:lineRule="auto"/>
    </w:pPr>
    <w:tblPr>
      <w:tblStyleRowBandSize w:val="1"/>
      <w:tblStyleColBandSize w:val="1"/>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character" w:customStyle="1" w:styleId="ColorfulList-Accent1Char1">
    <w:name w:val="Colorful List - Accent 1 Char1"/>
    <w:basedOn w:val="DefaultParagraphFont"/>
    <w:link w:val="ColorfulList-Accent1"/>
    <w:uiPriority w:val="34"/>
    <w:qFormat/>
    <w:locked/>
    <w:rsid w:val="009E49A0"/>
  </w:style>
  <w:style w:type="paragraph" w:styleId="BalloonText">
    <w:name w:val="Balloon Text"/>
    <w:basedOn w:val="Normal"/>
    <w:link w:val="BalloonTextChar"/>
    <w:uiPriority w:val="99"/>
    <w:semiHidden/>
    <w:unhideWhenUsed/>
    <w:rsid w:val="009E49A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49A0"/>
    <w:rPr>
      <w:rFonts w:ascii="Tahoma" w:eastAsia="Calibri"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34"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49A0"/>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qFormat/>
    <w:rsid w:val="009E49A0"/>
    <w:rPr>
      <w:color w:val="0000FF"/>
      <w:u w:val="single"/>
    </w:rPr>
  </w:style>
  <w:style w:type="character" w:styleId="FollowedHyperlink">
    <w:name w:val="FollowedHyperlink"/>
    <w:basedOn w:val="DefaultParagraphFont"/>
    <w:uiPriority w:val="99"/>
    <w:semiHidden/>
    <w:unhideWhenUsed/>
    <w:rsid w:val="009E49A0"/>
    <w:rPr>
      <w:color w:val="800080" w:themeColor="followedHyperlink"/>
      <w:u w:val="single"/>
    </w:rPr>
  </w:style>
  <w:style w:type="character" w:customStyle="1" w:styleId="NormalWebChar">
    <w:name w:val="Normal (Web) Char"/>
    <w:link w:val="NormalWeb"/>
    <w:uiPriority w:val="99"/>
    <w:semiHidden/>
    <w:qFormat/>
    <w:locked/>
    <w:rsid w:val="009E49A0"/>
    <w:rPr>
      <w:rFonts w:ascii="Times New Roman" w:eastAsia="Times New Roman" w:hAnsi="Times New Roman" w:cs="Times New Roman"/>
      <w:sz w:val="24"/>
      <w:szCs w:val="24"/>
      <w:lang w:val="x-none" w:eastAsia="x-none"/>
    </w:rPr>
  </w:style>
  <w:style w:type="paragraph" w:styleId="NormalWeb">
    <w:name w:val="Normal (Web)"/>
    <w:basedOn w:val="Normal"/>
    <w:link w:val="NormalWebChar"/>
    <w:uiPriority w:val="99"/>
    <w:semiHidden/>
    <w:unhideWhenUsed/>
    <w:rsid w:val="009E49A0"/>
    <w:pPr>
      <w:spacing w:before="100" w:beforeAutospacing="1" w:after="100" w:afterAutospacing="1" w:line="240" w:lineRule="auto"/>
      <w:jc w:val="left"/>
    </w:pPr>
    <w:rPr>
      <w:rFonts w:ascii="Times New Roman" w:eastAsia="Times New Roman" w:hAnsi="Times New Roman"/>
      <w:sz w:val="24"/>
      <w:szCs w:val="24"/>
      <w:lang w:val="x-none" w:eastAsia="x-none"/>
    </w:rPr>
  </w:style>
  <w:style w:type="paragraph" w:styleId="Header">
    <w:name w:val="header"/>
    <w:basedOn w:val="Normal"/>
    <w:link w:val="HeaderChar"/>
    <w:uiPriority w:val="99"/>
    <w:semiHidden/>
    <w:unhideWhenUsed/>
    <w:rsid w:val="009E49A0"/>
    <w:pPr>
      <w:tabs>
        <w:tab w:val="center" w:pos="4680"/>
        <w:tab w:val="right" w:pos="9360"/>
      </w:tabs>
      <w:spacing w:line="240" w:lineRule="auto"/>
    </w:pPr>
  </w:style>
  <w:style w:type="character" w:customStyle="1" w:styleId="HeaderChar">
    <w:name w:val="Header Char"/>
    <w:basedOn w:val="DefaultParagraphFont"/>
    <w:link w:val="Header"/>
    <w:uiPriority w:val="99"/>
    <w:semiHidden/>
    <w:qFormat/>
    <w:rsid w:val="009E49A0"/>
    <w:rPr>
      <w:rFonts w:ascii="Calibri" w:eastAsia="Calibri" w:hAnsi="Calibri" w:cs="Times New Roman"/>
      <w:lang w:val="en-US"/>
    </w:rPr>
  </w:style>
  <w:style w:type="paragraph" w:customStyle="1" w:styleId="Default">
    <w:name w:val="Default"/>
    <w:uiPriority w:val="99"/>
    <w:qFormat/>
    <w:rsid w:val="009E49A0"/>
    <w:pPr>
      <w:autoSpaceDE w:val="0"/>
      <w:autoSpaceDN w:val="0"/>
      <w:adjustRightInd w:val="0"/>
      <w:spacing w:after="0" w:line="240" w:lineRule="auto"/>
    </w:pPr>
    <w:rPr>
      <w:rFonts w:ascii="Times New Roman" w:eastAsia="Times New Roman" w:hAnsi="Times New Roman" w:cs="Times New Roman"/>
      <w:color w:val="000000"/>
      <w:sz w:val="24"/>
      <w:szCs w:val="24"/>
      <w:lang w:eastAsia="id-ID"/>
    </w:rPr>
  </w:style>
  <w:style w:type="paragraph" w:customStyle="1" w:styleId="Abstract">
    <w:name w:val="Abstract"/>
    <w:uiPriority w:val="99"/>
    <w:rsid w:val="009E49A0"/>
    <w:pPr>
      <w:spacing w:after="454" w:line="240" w:lineRule="auto"/>
      <w:ind w:left="1418"/>
      <w:jc w:val="both"/>
    </w:pPr>
    <w:rPr>
      <w:rFonts w:ascii="Times" w:eastAsia="Times New Roman" w:hAnsi="Times" w:cs="Times New Roman"/>
      <w:color w:val="000000"/>
      <w:sz w:val="20"/>
      <w:szCs w:val="20"/>
      <w:lang w:val="en-GB"/>
    </w:rPr>
  </w:style>
  <w:style w:type="table" w:styleId="ColorfulList-Accent1">
    <w:name w:val="Colorful List Accent 1"/>
    <w:basedOn w:val="TableNormal"/>
    <w:link w:val="ColorfulList-Accent1Char1"/>
    <w:uiPriority w:val="34"/>
    <w:rsid w:val="009E49A0"/>
    <w:pPr>
      <w:spacing w:after="0" w:line="240" w:lineRule="auto"/>
    </w:pPr>
    <w:tblPr>
      <w:tblStyleRowBandSize w:val="1"/>
      <w:tblStyleColBandSize w:val="1"/>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character" w:customStyle="1" w:styleId="ColorfulList-Accent1Char1">
    <w:name w:val="Colorful List - Accent 1 Char1"/>
    <w:basedOn w:val="DefaultParagraphFont"/>
    <w:link w:val="ColorfulList-Accent1"/>
    <w:uiPriority w:val="34"/>
    <w:qFormat/>
    <w:locked/>
    <w:rsid w:val="009E49A0"/>
  </w:style>
  <w:style w:type="paragraph" w:styleId="BalloonText">
    <w:name w:val="Balloon Text"/>
    <w:basedOn w:val="Normal"/>
    <w:link w:val="BalloonTextChar"/>
    <w:uiPriority w:val="99"/>
    <w:semiHidden/>
    <w:unhideWhenUsed/>
    <w:rsid w:val="009E49A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49A0"/>
    <w:rPr>
      <w:rFonts w:ascii="Tahoma" w:eastAsia="Calibri"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39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PS.go.id" TargetMode="External"/><Relationship Id="rId13" Type="http://schemas.openxmlformats.org/officeDocument/2006/relationships/hyperlink" Target="http://www.BPS.go.id" TargetMode="Externa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hyperlink" Target="http://www.BPS.go.id"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cepr.org/pubs/dps/DP9689" TargetMode="External"/><Relationship Id="rId10" Type="http://schemas.openxmlformats.org/officeDocument/2006/relationships/hyperlink" Target="http://www.BPS.go.id"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3149</Words>
  <Characters>17952</Characters>
  <Application>Microsoft Office Word</Application>
  <DocSecurity>0</DocSecurity>
  <Lines>149</Lines>
  <Paragraphs>42</Paragraphs>
  <ScaleCrop>false</ScaleCrop>
  <Company/>
  <LinksUpToDate>false</LinksUpToDate>
  <CharactersWithSpaces>21059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2020-08-25T02:59:00Z</dcterms:created>
  <dcterms:modified xsi:type="dcterms:W3CDTF">2020-08-25T03:01:00Z</dcterms:modified>
</cp:coreProperties>
</file>