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52DB" w:rsidRDefault="00A352DB" w:rsidP="00A352DB">
      <w:pPr>
        <w:spacing w:line="240" w:lineRule="auto"/>
        <w:jc w:val="center"/>
        <w:rPr>
          <w:rFonts w:ascii="Tahoma" w:hAnsi="Tahoma" w:cs="Tahoma"/>
          <w:b/>
          <w:sz w:val="16"/>
          <w:szCs w:val="16"/>
        </w:rPr>
      </w:pPr>
      <w:r>
        <w:rPr>
          <w:rFonts w:ascii="Tahoma" w:hAnsi="Tahoma" w:cs="Tahoma"/>
          <w:b/>
          <w:sz w:val="28"/>
          <w:szCs w:val="28"/>
        </w:rPr>
        <w:t>INOVASI TEKNOLOGI PEMANFAATAN LAHAN GAMBUT MENDUKUNG SWASEMBADA PANGAN DI PROVINSI RIAU</w:t>
      </w:r>
    </w:p>
    <w:p w:rsidR="00A352DB" w:rsidRDefault="00A352DB" w:rsidP="00A352DB">
      <w:pPr>
        <w:spacing w:line="240" w:lineRule="auto"/>
        <w:jc w:val="center"/>
        <w:rPr>
          <w:rFonts w:ascii="Tahoma" w:hAnsi="Tahoma" w:cs="Tahoma"/>
          <w:b/>
          <w:sz w:val="16"/>
          <w:szCs w:val="16"/>
        </w:rPr>
      </w:pPr>
    </w:p>
    <w:p w:rsidR="00A352DB" w:rsidRDefault="00A352DB" w:rsidP="00A352DB">
      <w:pPr>
        <w:tabs>
          <w:tab w:val="left" w:pos="720"/>
        </w:tabs>
        <w:spacing w:line="240" w:lineRule="auto"/>
        <w:ind w:firstLine="360"/>
        <w:jc w:val="center"/>
        <w:rPr>
          <w:rFonts w:ascii="Tahoma" w:hAnsi="Tahoma" w:cs="Tahoma"/>
          <w:b/>
          <w:sz w:val="24"/>
          <w:szCs w:val="24"/>
        </w:rPr>
      </w:pPr>
      <w:r>
        <w:rPr>
          <w:rFonts w:ascii="Tahoma" w:hAnsi="Tahoma" w:cs="Tahoma"/>
          <w:b/>
          <w:sz w:val="24"/>
          <w:szCs w:val="24"/>
        </w:rPr>
        <w:t>Ida Nur Istina</w:t>
      </w:r>
      <w:r>
        <w:rPr>
          <w:rFonts w:ascii="Tahoma" w:hAnsi="Tahoma" w:cs="Tahoma"/>
          <w:b/>
          <w:sz w:val="24"/>
          <w:szCs w:val="24"/>
          <w:vertAlign w:val="superscript"/>
        </w:rPr>
        <w:t>1)</w:t>
      </w:r>
      <w:r>
        <w:rPr>
          <w:rFonts w:ascii="Tahoma" w:hAnsi="Tahoma" w:cs="Tahoma"/>
          <w:b/>
          <w:sz w:val="24"/>
          <w:szCs w:val="24"/>
        </w:rPr>
        <w:t>, Nana Sutrisna</w:t>
      </w:r>
      <w:r>
        <w:rPr>
          <w:rFonts w:ascii="Tahoma" w:hAnsi="Tahoma" w:cs="Tahoma"/>
          <w:b/>
          <w:sz w:val="24"/>
          <w:szCs w:val="24"/>
          <w:vertAlign w:val="superscript"/>
        </w:rPr>
        <w:t>2)</w:t>
      </w:r>
      <w:r>
        <w:rPr>
          <w:rFonts w:ascii="Tahoma" w:hAnsi="Tahoma" w:cs="Tahoma"/>
          <w:b/>
          <w:sz w:val="24"/>
          <w:szCs w:val="24"/>
        </w:rPr>
        <w:t xml:space="preserve"> dan Nurhayati</w:t>
      </w:r>
      <w:r>
        <w:rPr>
          <w:rFonts w:ascii="Tahoma" w:hAnsi="Tahoma" w:cs="Tahoma"/>
          <w:b/>
          <w:sz w:val="24"/>
          <w:szCs w:val="24"/>
          <w:vertAlign w:val="superscript"/>
        </w:rPr>
        <w:t>1)</w:t>
      </w:r>
    </w:p>
    <w:p w:rsidR="00A352DB" w:rsidRDefault="00A352DB" w:rsidP="00A352DB">
      <w:pPr>
        <w:tabs>
          <w:tab w:val="left" w:pos="720"/>
        </w:tabs>
        <w:spacing w:line="240" w:lineRule="auto"/>
        <w:ind w:firstLine="360"/>
        <w:jc w:val="center"/>
        <w:rPr>
          <w:rFonts w:ascii="Tahoma" w:hAnsi="Tahoma" w:cs="Tahoma"/>
          <w:b/>
        </w:rPr>
      </w:pPr>
    </w:p>
    <w:p w:rsidR="00A352DB" w:rsidRDefault="00A352DB" w:rsidP="00A352DB">
      <w:pPr>
        <w:pStyle w:val="ListParagraph"/>
        <w:spacing w:line="240" w:lineRule="auto"/>
        <w:ind w:left="0"/>
        <w:jc w:val="center"/>
        <w:rPr>
          <w:rFonts w:ascii="Tahoma" w:hAnsi="Tahoma" w:cs="Tahoma"/>
          <w:i/>
          <w:sz w:val="20"/>
          <w:szCs w:val="20"/>
        </w:rPr>
      </w:pPr>
      <w:r>
        <w:rPr>
          <w:rFonts w:ascii="Tahoma" w:hAnsi="Tahoma" w:cs="Tahoma"/>
          <w:i/>
          <w:sz w:val="20"/>
          <w:szCs w:val="20"/>
          <w:vertAlign w:val="superscript"/>
        </w:rPr>
        <w:t xml:space="preserve">(1) </w:t>
      </w:r>
      <w:r>
        <w:rPr>
          <w:rFonts w:ascii="Tahoma" w:hAnsi="Tahoma" w:cs="Tahoma"/>
          <w:i/>
          <w:sz w:val="20"/>
          <w:szCs w:val="20"/>
        </w:rPr>
        <w:t>Peneliti pada Balai Pengkajian Teknologi Pertanian (BPTP) Riau</w:t>
      </w:r>
    </w:p>
    <w:p w:rsidR="00A352DB" w:rsidRDefault="00A352DB" w:rsidP="00A352DB">
      <w:pPr>
        <w:pStyle w:val="ListParagraph"/>
        <w:spacing w:line="240" w:lineRule="auto"/>
        <w:ind w:left="0"/>
        <w:jc w:val="center"/>
        <w:rPr>
          <w:rFonts w:ascii="Tahoma" w:hAnsi="Tahoma" w:cs="Tahoma"/>
          <w:i/>
          <w:sz w:val="20"/>
          <w:szCs w:val="20"/>
        </w:rPr>
      </w:pPr>
      <w:r>
        <w:rPr>
          <w:rFonts w:ascii="Tahoma" w:hAnsi="Tahoma" w:cs="Tahoma"/>
          <w:i/>
          <w:sz w:val="20"/>
          <w:szCs w:val="20"/>
          <w:vertAlign w:val="superscript"/>
        </w:rPr>
        <w:t>(2)</w:t>
      </w:r>
      <w:r>
        <w:rPr>
          <w:rFonts w:ascii="Tahoma" w:hAnsi="Tahoma" w:cs="Tahoma"/>
          <w:i/>
          <w:sz w:val="20"/>
          <w:szCs w:val="20"/>
        </w:rPr>
        <w:t xml:space="preserve"> Peneliti pada Balai Pengkajian Teknologi Pertanian (BPTP</w:t>
      </w:r>
      <w:proofErr w:type="gramStart"/>
      <w:r>
        <w:rPr>
          <w:rFonts w:ascii="Tahoma" w:hAnsi="Tahoma" w:cs="Tahoma"/>
          <w:i/>
          <w:sz w:val="20"/>
          <w:szCs w:val="20"/>
        </w:rPr>
        <w:t>)  Jawa</w:t>
      </w:r>
      <w:proofErr w:type="gramEnd"/>
      <w:r>
        <w:rPr>
          <w:rFonts w:ascii="Tahoma" w:hAnsi="Tahoma" w:cs="Tahoma"/>
          <w:i/>
          <w:sz w:val="20"/>
          <w:szCs w:val="20"/>
        </w:rPr>
        <w:t xml:space="preserve"> Barat</w:t>
      </w:r>
    </w:p>
    <w:p w:rsidR="00A352DB" w:rsidRDefault="00A352DB" w:rsidP="00A352DB">
      <w:pPr>
        <w:pStyle w:val="ListParagraph"/>
        <w:spacing w:line="240" w:lineRule="auto"/>
        <w:ind w:left="0"/>
        <w:jc w:val="center"/>
        <w:rPr>
          <w:rFonts w:ascii="Tahoma" w:hAnsi="Tahoma" w:cs="Tahoma"/>
          <w:sz w:val="20"/>
          <w:szCs w:val="20"/>
        </w:rPr>
      </w:pPr>
    </w:p>
    <w:p w:rsidR="00A352DB" w:rsidRDefault="00A352DB" w:rsidP="00A352DB">
      <w:pPr>
        <w:tabs>
          <w:tab w:val="left" w:pos="6885"/>
        </w:tabs>
        <w:spacing w:line="240" w:lineRule="auto"/>
        <w:ind w:left="567" w:hanging="567"/>
        <w:rPr>
          <w:rFonts w:ascii="Tahoma" w:hAnsi="Tahoma" w:cs="Tahoma"/>
          <w:sz w:val="20"/>
          <w:szCs w:val="20"/>
        </w:rPr>
      </w:pPr>
    </w:p>
    <w:p w:rsidR="00A352DB" w:rsidRDefault="00A352DB" w:rsidP="00A352DB">
      <w:pPr>
        <w:spacing w:line="240" w:lineRule="auto"/>
        <w:jc w:val="center"/>
        <w:rPr>
          <w:rFonts w:ascii="Tahoma" w:hAnsi="Tahoma" w:cs="Tahoma"/>
          <w:b/>
          <w:sz w:val="24"/>
          <w:szCs w:val="24"/>
        </w:rPr>
      </w:pPr>
      <w:r>
        <w:rPr>
          <w:rFonts w:ascii="Tahoma" w:hAnsi="Tahoma" w:cs="Tahoma"/>
          <w:b/>
          <w:sz w:val="24"/>
          <w:szCs w:val="24"/>
        </w:rPr>
        <w:t>ABSTRAK</w:t>
      </w:r>
    </w:p>
    <w:p w:rsidR="00A352DB" w:rsidRDefault="00A352DB" w:rsidP="00A352DB">
      <w:pPr>
        <w:spacing w:line="240" w:lineRule="auto"/>
        <w:jc w:val="center"/>
        <w:rPr>
          <w:rFonts w:ascii="Tahoma" w:hAnsi="Tahoma" w:cs="Tahoma"/>
          <w:b/>
          <w:sz w:val="24"/>
          <w:szCs w:val="24"/>
        </w:rPr>
      </w:pPr>
    </w:p>
    <w:p w:rsidR="00A352DB" w:rsidRDefault="00A352DB" w:rsidP="00A352DB">
      <w:pPr>
        <w:spacing w:line="240" w:lineRule="auto"/>
        <w:rPr>
          <w:rFonts w:ascii="Tahoma" w:hAnsi="Tahoma" w:cs="Tahoma"/>
          <w:sz w:val="20"/>
          <w:szCs w:val="20"/>
        </w:rPr>
      </w:pPr>
      <w:proofErr w:type="gramStart"/>
      <w:r>
        <w:rPr>
          <w:rFonts w:ascii="Tahoma" w:hAnsi="Tahoma" w:cs="Tahoma"/>
          <w:sz w:val="20"/>
          <w:szCs w:val="20"/>
        </w:rPr>
        <w:t>Kebutuhan pangan semakin meningkat seiring dengan pertumbuhan penduduk, sementara luasan lahan pertanian tidak bertambah menyebabkan perluasan pengembangan pertanian kearah lahan suboptimal seperti tanah gambut.</w:t>
      </w:r>
      <w:proofErr w:type="gramEnd"/>
      <w:r>
        <w:rPr>
          <w:rFonts w:ascii="Tahoma" w:hAnsi="Tahoma" w:cs="Tahoma"/>
          <w:sz w:val="20"/>
          <w:szCs w:val="20"/>
        </w:rPr>
        <w:t xml:space="preserve"> Kendala pengembangan lahan gambut untuk pertanian dikaitkan dengan sifat fisik dan kimia tanah gambut diantaranya sifat  mudah rusak, derajat keasaman tinggi, dan kesuburan rendah untuk itu pengembangan tanah gambut untuk tujuan swasembada pangan di Provinsi Riau perlu menerapkan strategi dan pemanfaatan inovasi teknologi secara tepat dan spesifik lokasi, yaitu 1) teknologi tata air, 2) pemilihan komoditas bernilai tinggi dan adaptif terhadap lahan gambut, 3) ameliorasi, 4) pemupukan dan 5) pemanfaatan sumberdaya hayati indigenous tanah gambut. </w:t>
      </w:r>
    </w:p>
    <w:p w:rsidR="00A352DB" w:rsidRDefault="00A352DB" w:rsidP="00A352DB">
      <w:pPr>
        <w:spacing w:line="240" w:lineRule="auto"/>
        <w:rPr>
          <w:rFonts w:ascii="Tahoma" w:hAnsi="Tahoma" w:cs="Tahoma"/>
          <w:sz w:val="20"/>
          <w:szCs w:val="20"/>
        </w:rPr>
      </w:pPr>
    </w:p>
    <w:p w:rsidR="00A352DB" w:rsidRDefault="00A352DB" w:rsidP="00A352DB">
      <w:pPr>
        <w:spacing w:line="240" w:lineRule="auto"/>
        <w:ind w:left="1418" w:hanging="1418"/>
        <w:contextualSpacing/>
        <w:rPr>
          <w:rFonts w:ascii="Tahoma" w:hAnsi="Tahoma" w:cs="Tahoma"/>
          <w:sz w:val="20"/>
          <w:szCs w:val="20"/>
        </w:rPr>
      </w:pPr>
      <w:r>
        <w:rPr>
          <w:rFonts w:ascii="Tahoma" w:hAnsi="Tahoma" w:cs="Tahoma"/>
          <w:b/>
          <w:sz w:val="20"/>
          <w:szCs w:val="20"/>
        </w:rPr>
        <w:t>Kata kunci</w:t>
      </w:r>
      <w:r>
        <w:rPr>
          <w:rFonts w:ascii="Tahoma" w:hAnsi="Tahoma" w:cs="Tahoma"/>
          <w:sz w:val="20"/>
          <w:szCs w:val="20"/>
        </w:rPr>
        <w:t>: gambut, produktivitas, ketahanan pangan</w:t>
      </w:r>
    </w:p>
    <w:p w:rsidR="00A352DB" w:rsidRDefault="00A352DB" w:rsidP="00A352DB">
      <w:pPr>
        <w:spacing w:line="240" w:lineRule="auto"/>
        <w:ind w:left="1418" w:hanging="1418"/>
        <w:contextualSpacing/>
        <w:rPr>
          <w:rFonts w:ascii="Tahoma" w:hAnsi="Tahoma" w:cs="Tahoma"/>
          <w:bCs/>
          <w:sz w:val="20"/>
          <w:szCs w:val="20"/>
        </w:rPr>
      </w:pPr>
    </w:p>
    <w:p w:rsidR="00A352DB" w:rsidRDefault="00A352DB" w:rsidP="00A352DB">
      <w:pPr>
        <w:spacing w:line="240" w:lineRule="auto"/>
        <w:jc w:val="center"/>
        <w:rPr>
          <w:rFonts w:ascii="Tahoma" w:hAnsi="Tahoma" w:cs="Tahoma"/>
          <w:b/>
          <w:i/>
          <w:sz w:val="24"/>
          <w:szCs w:val="24"/>
        </w:rPr>
      </w:pPr>
      <w:r>
        <w:rPr>
          <w:rFonts w:ascii="Tahoma" w:hAnsi="Tahoma" w:cs="Tahoma"/>
          <w:b/>
          <w:i/>
          <w:sz w:val="24"/>
          <w:szCs w:val="24"/>
        </w:rPr>
        <w:t>ABSTRACT</w:t>
      </w:r>
    </w:p>
    <w:p w:rsidR="00A352DB" w:rsidRDefault="00A352DB" w:rsidP="00A352DB">
      <w:pPr>
        <w:spacing w:line="240" w:lineRule="auto"/>
        <w:ind w:left="851" w:hanging="851"/>
        <w:rPr>
          <w:rFonts w:ascii="Tahoma" w:hAnsi="Tahoma" w:cs="Tahoma"/>
          <w:i/>
          <w:sz w:val="24"/>
          <w:szCs w:val="24"/>
        </w:rPr>
      </w:pPr>
    </w:p>
    <w:p w:rsidR="00A352DB" w:rsidRDefault="00A352DB" w:rsidP="00A352DB">
      <w:pPr>
        <w:spacing w:line="240" w:lineRule="auto"/>
        <w:rPr>
          <w:rFonts w:ascii="Tahoma" w:hAnsi="Tahoma" w:cs="Tahoma"/>
          <w:i/>
          <w:sz w:val="20"/>
          <w:szCs w:val="20"/>
        </w:rPr>
      </w:pPr>
      <w:r>
        <w:rPr>
          <w:rFonts w:ascii="Tahoma" w:hAnsi="Tahoma" w:cs="Tahoma"/>
          <w:i/>
          <w:sz w:val="20"/>
          <w:szCs w:val="20"/>
        </w:rPr>
        <w:t xml:space="preserve">Food demand is expected to grow along with population growth. On the other hand, the area of agricultural land continues to decline. Agricultural development towards suboptimal land such as peat soils need to be developed in order to increase food productivity. However, peatland has a number of constrain for crop cultivation were related to the physical and chemical characteristics of peat soils such as perishability, high acidity and low fertility. In order to develop peat soils for supporting food self-sufficiency in Riau Province, the </w:t>
      </w:r>
      <w:proofErr w:type="gramStart"/>
      <w:r>
        <w:rPr>
          <w:rFonts w:ascii="Tahoma" w:hAnsi="Tahoma" w:cs="Tahoma"/>
          <w:i/>
          <w:sz w:val="20"/>
          <w:szCs w:val="20"/>
        </w:rPr>
        <w:t>government need</w:t>
      </w:r>
      <w:proofErr w:type="gramEnd"/>
      <w:r>
        <w:rPr>
          <w:rFonts w:ascii="Tahoma" w:hAnsi="Tahoma" w:cs="Tahoma"/>
          <w:i/>
          <w:sz w:val="20"/>
          <w:szCs w:val="20"/>
        </w:rPr>
        <w:t xml:space="preserve"> to be implement some strategies implementation and innovations, namely 1) water management technology, 2) selection of high value and adaptive commodities to peatlands, 3) amelioration, 4) fertilization and 5) utilization of indigenous biological microbes in peat soils.</w:t>
      </w:r>
    </w:p>
    <w:p w:rsidR="00A352DB" w:rsidRDefault="00A352DB" w:rsidP="00A352DB">
      <w:pPr>
        <w:spacing w:line="240" w:lineRule="auto"/>
        <w:jc w:val="center"/>
        <w:rPr>
          <w:rFonts w:ascii="Tahoma" w:hAnsi="Tahoma" w:cs="Tahoma"/>
          <w:i/>
          <w:sz w:val="20"/>
          <w:szCs w:val="20"/>
        </w:rPr>
      </w:pPr>
    </w:p>
    <w:p w:rsidR="00A352DB" w:rsidRDefault="00A352DB" w:rsidP="00A352DB">
      <w:pPr>
        <w:spacing w:line="240" w:lineRule="auto"/>
        <w:rPr>
          <w:rFonts w:ascii="Tahoma" w:hAnsi="Tahoma" w:cs="Tahoma"/>
          <w:i/>
          <w:sz w:val="20"/>
          <w:szCs w:val="20"/>
        </w:rPr>
      </w:pPr>
      <w:r>
        <w:rPr>
          <w:rFonts w:ascii="Tahoma" w:hAnsi="Tahoma" w:cs="Tahoma"/>
          <w:b/>
          <w:i/>
          <w:sz w:val="20"/>
          <w:szCs w:val="20"/>
        </w:rPr>
        <w:t>Keywords</w:t>
      </w:r>
      <w:r>
        <w:rPr>
          <w:rFonts w:ascii="Tahoma" w:hAnsi="Tahoma" w:cs="Tahoma"/>
          <w:i/>
          <w:sz w:val="20"/>
          <w:szCs w:val="20"/>
        </w:rPr>
        <w:t>: peatland, productivity, food security</w:t>
      </w:r>
    </w:p>
    <w:p w:rsidR="00A352DB" w:rsidRDefault="00A352DB" w:rsidP="00A352DB">
      <w:pPr>
        <w:spacing w:line="240" w:lineRule="auto"/>
        <w:rPr>
          <w:rFonts w:ascii="Tahoma" w:hAnsi="Tahoma" w:cs="Tahoma"/>
          <w:i/>
          <w:sz w:val="20"/>
          <w:szCs w:val="20"/>
        </w:rPr>
      </w:pPr>
    </w:p>
    <w:p w:rsidR="00A352DB" w:rsidRDefault="00A352DB" w:rsidP="00A352DB">
      <w:pPr>
        <w:spacing w:line="240" w:lineRule="auto"/>
        <w:rPr>
          <w:rFonts w:ascii="Tahoma" w:hAnsi="Tahoma" w:cs="Tahoma"/>
          <w:i/>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sz w:val="20"/>
          <w:szCs w:val="20"/>
        </w:rPr>
      </w:pPr>
    </w:p>
    <w:p w:rsidR="00A352DB" w:rsidRDefault="00A352DB" w:rsidP="00A352DB">
      <w:pPr>
        <w:spacing w:line="240" w:lineRule="auto"/>
        <w:rPr>
          <w:rFonts w:ascii="Tahoma" w:hAnsi="Tahoma" w:cs="Tahoma"/>
          <w:i/>
          <w:sz w:val="20"/>
          <w:szCs w:val="20"/>
          <w:lang w:val="en"/>
        </w:rPr>
      </w:pPr>
    </w:p>
    <w:p w:rsidR="00A352DB" w:rsidRDefault="00A352DB" w:rsidP="00A352DB">
      <w:pPr>
        <w:spacing w:line="240" w:lineRule="auto"/>
        <w:rPr>
          <w:rFonts w:ascii="Tahoma" w:hAnsi="Tahoma" w:cs="Tahoma"/>
        </w:rPr>
      </w:pPr>
    </w:p>
    <w:p w:rsidR="00A352DB" w:rsidRDefault="00A352DB" w:rsidP="00A352DB">
      <w:pPr>
        <w:tabs>
          <w:tab w:val="left" w:pos="6885"/>
        </w:tabs>
        <w:spacing w:line="240" w:lineRule="auto"/>
        <w:ind w:left="567" w:hanging="567"/>
        <w:rPr>
          <w:rFonts w:ascii="Tahoma" w:hAnsi="Tahoma" w:cs="Tahoma"/>
          <w:sz w:val="20"/>
          <w:szCs w:val="20"/>
        </w:rPr>
      </w:pPr>
    </w:p>
    <w:p w:rsidR="00A352DB" w:rsidRDefault="00A352DB" w:rsidP="00A352DB">
      <w:pPr>
        <w:spacing w:line="240" w:lineRule="auto"/>
        <w:jc w:val="left"/>
        <w:rPr>
          <w:rFonts w:ascii="Tahoma" w:hAnsi="Tahoma" w:cs="Tahoma"/>
          <w:sz w:val="20"/>
          <w:szCs w:val="20"/>
        </w:rPr>
        <w:sectPr w:rsidR="00A352DB">
          <w:pgSz w:w="11907" w:h="16840"/>
          <w:pgMar w:top="1134" w:right="1134" w:bottom="1134" w:left="1843" w:header="720" w:footer="420" w:gutter="0"/>
          <w:cols w:space="720"/>
        </w:sectPr>
      </w:pPr>
    </w:p>
    <w:p w:rsidR="00A352DB" w:rsidRDefault="00A352DB" w:rsidP="00A352DB">
      <w:pPr>
        <w:spacing w:line="240" w:lineRule="auto"/>
        <w:ind w:left="-284" w:right="284" w:firstLine="851"/>
        <w:jc w:val="center"/>
        <w:rPr>
          <w:rFonts w:ascii="Tahoma" w:hAnsi="Tahoma" w:cs="Tahoma"/>
          <w:b/>
          <w:sz w:val="24"/>
          <w:szCs w:val="24"/>
        </w:rPr>
      </w:pPr>
      <w:r>
        <w:rPr>
          <w:rFonts w:ascii="Tahoma" w:hAnsi="Tahoma" w:cs="Tahoma"/>
          <w:b/>
          <w:sz w:val="24"/>
          <w:szCs w:val="24"/>
        </w:rPr>
        <w:lastRenderedPageBreak/>
        <w:t>PENDAHULUAN</w:t>
      </w:r>
    </w:p>
    <w:p w:rsidR="00A352DB" w:rsidRDefault="00A352DB" w:rsidP="00A352DB">
      <w:pPr>
        <w:spacing w:line="240" w:lineRule="auto"/>
        <w:jc w:val="center"/>
        <w:rPr>
          <w:rFonts w:ascii="Tahoma" w:hAnsi="Tahoma" w:cs="Tahoma"/>
          <w:sz w:val="20"/>
          <w:szCs w:val="20"/>
        </w:rPr>
      </w:pPr>
    </w:p>
    <w:p w:rsidR="00A352DB" w:rsidRDefault="00A352DB" w:rsidP="00A352DB">
      <w:pPr>
        <w:spacing w:line="312" w:lineRule="auto"/>
        <w:ind w:firstLine="720"/>
        <w:rPr>
          <w:rFonts w:ascii="Tahoma" w:hAnsi="Tahoma" w:cs="Tahoma"/>
          <w:sz w:val="20"/>
          <w:szCs w:val="20"/>
        </w:rPr>
      </w:pPr>
      <w:r>
        <w:rPr>
          <w:rFonts w:ascii="Tahoma" w:hAnsi="Tahoma" w:cs="Tahoma"/>
          <w:sz w:val="20"/>
          <w:szCs w:val="20"/>
        </w:rPr>
        <w:t>Pertumbuhan penduduk Riau yang terus meningkat dari waktu ke waktu menyebabkan kebutuhan akan bahan pangan khususnya beras meningkat, Tahun 2018 jumlah penduduk Riau mencapai 6.495.700 jiwa (Badan Pusat Statistik, 2019), dengan tingkat produktivitas lahan rata-rata 4,2 ton/ha maka Riau kekurangan beras sebesar 34,96% yang didatangkan dari luar provinsi. Pencanangan swasembada pangan mendorong adanya ekstensifikasi ke lahan-lahan sub optimal diluar sentra produksi salah satunya adalah lahan gambut yang tersebar luas.</w:t>
      </w:r>
    </w:p>
    <w:p w:rsidR="00A352DB" w:rsidRDefault="00A352DB" w:rsidP="00A352DB">
      <w:pPr>
        <w:spacing w:line="312" w:lineRule="auto"/>
        <w:ind w:left="2" w:firstLine="718"/>
        <w:rPr>
          <w:rFonts w:ascii="Tahoma" w:hAnsi="Tahoma" w:cs="Tahoma"/>
          <w:sz w:val="20"/>
          <w:szCs w:val="20"/>
          <w:lang w:val="it-IT"/>
        </w:rPr>
      </w:pPr>
      <w:r>
        <w:rPr>
          <w:rFonts w:ascii="Tahoma" w:hAnsi="Tahoma" w:cs="Tahoma"/>
          <w:sz w:val="20"/>
          <w:szCs w:val="20"/>
        </w:rPr>
        <w:t xml:space="preserve">Lahan gambut yang ada di Indonesia meliputi </w:t>
      </w:r>
      <w:proofErr w:type="gramStart"/>
      <w:r>
        <w:rPr>
          <w:rFonts w:ascii="Tahoma" w:hAnsi="Tahoma" w:cs="Tahoma"/>
          <w:sz w:val="20"/>
          <w:szCs w:val="20"/>
        </w:rPr>
        <w:t>luasan  14.903.245</w:t>
      </w:r>
      <w:proofErr w:type="gramEnd"/>
      <w:r>
        <w:rPr>
          <w:rFonts w:ascii="Tahoma" w:hAnsi="Tahoma" w:cs="Tahoma"/>
          <w:sz w:val="20"/>
          <w:szCs w:val="20"/>
        </w:rPr>
        <w:t xml:space="preserve"> ha, yang tersebar di </w:t>
      </w:r>
      <w:r>
        <w:rPr>
          <w:rFonts w:ascii="Tahoma" w:hAnsi="Tahoma" w:cs="Tahoma"/>
          <w:sz w:val="20"/>
          <w:szCs w:val="20"/>
          <w:lang w:val="it-IT"/>
        </w:rPr>
        <w:t>Papua (2.425.523 ha), Sumatera (1.767.303 ha), dan Kalimantan (1.048.611 ha) (Masganti, 2017). Lahan gambut memiliki fungsi yang sangat penting bagi kehidupan manusia yaitu fungsi produksi dan lingkungannya. Sebagai fungsi produksi lahan gambut mampu berperan  dalam penyediaan bahan pangan, dan bahan baku industri bahkan mampu berperan sebagai penyedia energi terbarukan yang diperlukan untuk mengantisipasi sumber energi fosil. Namun demikian pemanfaatan gambut secara tidak bijak akan menyebabkan terjadinya kerusakan gambut seperti penurunan permukaan tanah (subsiden), kebakaran lahan, hilangnya keragaman hayati bahkan  secara soial dapat menyebabkan terjadinya konflik sosial. Oleh karena itu pemanfaatan gambut untuk pemenuhan kebutuhan pangan perlu dilakukan secara bijak.</w:t>
      </w:r>
    </w:p>
    <w:p w:rsidR="00A352DB" w:rsidRDefault="00A352DB" w:rsidP="00A352DB">
      <w:pPr>
        <w:spacing w:line="240" w:lineRule="auto"/>
        <w:ind w:left="2"/>
        <w:rPr>
          <w:rFonts w:ascii="Tahoma" w:hAnsi="Tahoma" w:cs="Tahoma"/>
          <w:sz w:val="20"/>
          <w:szCs w:val="20"/>
          <w:lang w:val="it-IT"/>
        </w:rPr>
      </w:pPr>
    </w:p>
    <w:p w:rsidR="00A352DB" w:rsidRDefault="00A352DB" w:rsidP="00A352DB">
      <w:pPr>
        <w:spacing w:line="240" w:lineRule="auto"/>
        <w:rPr>
          <w:rFonts w:ascii="Tahoma" w:hAnsi="Tahoma" w:cs="Tahoma"/>
          <w:b/>
          <w:sz w:val="20"/>
          <w:szCs w:val="20"/>
          <w:lang w:val="it-IT"/>
        </w:rPr>
      </w:pPr>
      <w:r>
        <w:rPr>
          <w:rFonts w:ascii="Tahoma" w:hAnsi="Tahoma" w:cs="Tahoma"/>
          <w:b/>
          <w:sz w:val="20"/>
          <w:szCs w:val="20"/>
          <w:lang w:val="it-IT"/>
        </w:rPr>
        <w:t>Permasalahan dan optimalisasi produksi pangan di lahan gambut</w:t>
      </w:r>
    </w:p>
    <w:p w:rsidR="00A352DB" w:rsidRDefault="00A352DB" w:rsidP="00A352DB">
      <w:pPr>
        <w:spacing w:line="240" w:lineRule="auto"/>
        <w:rPr>
          <w:rFonts w:ascii="Tahoma" w:hAnsi="Tahoma" w:cs="Tahoma"/>
          <w:b/>
          <w:sz w:val="16"/>
          <w:szCs w:val="16"/>
          <w:lang w:val="it-IT"/>
        </w:rPr>
      </w:pPr>
    </w:p>
    <w:p w:rsidR="00A352DB" w:rsidRDefault="00A352DB" w:rsidP="00A352DB">
      <w:pPr>
        <w:spacing w:line="312" w:lineRule="auto"/>
        <w:ind w:firstLine="720"/>
        <w:rPr>
          <w:rFonts w:ascii="Tahoma" w:hAnsi="Tahoma" w:cs="Tahoma"/>
          <w:sz w:val="20"/>
          <w:szCs w:val="20"/>
          <w:lang w:val="it-IT"/>
        </w:rPr>
      </w:pPr>
      <w:r>
        <w:rPr>
          <w:rFonts w:ascii="Tahoma" w:hAnsi="Tahoma" w:cs="Tahoma"/>
          <w:sz w:val="20"/>
          <w:szCs w:val="20"/>
          <w:lang w:val="it-IT"/>
        </w:rPr>
        <w:t xml:space="preserve">Tanah gambut merupakan tanah hasil bentukan bahan organik yang terdekomposisi secara lambat sebagai akibat adanya genangan. Tanah gambut mampu memegang air dalam jumlah yang besar hingga 10 kali berat jenisnya  sehingga kerusakan gambut akan menyebabkan hilangnya cadangan air dalam tanah yang diperlukan untuk pemenuhan kebutuhan air dan berperan sebagai penyeimbang lingkungan. </w:t>
      </w:r>
      <w:r>
        <w:rPr>
          <w:rFonts w:ascii="Tahoma" w:hAnsi="Tahoma" w:cs="Tahoma"/>
          <w:color w:val="000000"/>
          <w:sz w:val="20"/>
          <w:szCs w:val="20"/>
        </w:rPr>
        <w:lastRenderedPageBreak/>
        <w:t xml:space="preserve">Maas (2012) menyatakan bahwa kecepatan  pembentukan gambut sangat lambat dan berbeda dari satu tempat dengan tempat lainnya, dipengaruhi oleh beberapa  faktor seperti (a) sumber dan neraca air, (b) kandungan mineral yang ada dalam air, (c) iklim yang meliputi curah hujan, suhu dan kelembaban, (d) tutupan vegetasi menyangkut kerapatan dan jenis vegetasinya dan (e) pengelolaan setelah drainase (Husnain </w:t>
      </w:r>
      <w:r>
        <w:rPr>
          <w:rFonts w:ascii="Tahoma" w:hAnsi="Tahoma" w:cs="Tahoma"/>
          <w:i/>
          <w:iCs/>
          <w:color w:val="000000"/>
          <w:sz w:val="20"/>
          <w:szCs w:val="20"/>
        </w:rPr>
        <w:t>et al</w:t>
      </w:r>
      <w:r>
        <w:rPr>
          <w:rFonts w:ascii="Tahoma" w:hAnsi="Tahoma" w:cs="Tahoma"/>
          <w:color w:val="000000"/>
          <w:sz w:val="20"/>
          <w:szCs w:val="20"/>
        </w:rPr>
        <w:t>., 2014).</w:t>
      </w:r>
    </w:p>
    <w:p w:rsidR="00A352DB" w:rsidRDefault="00A352DB" w:rsidP="00A352DB">
      <w:pPr>
        <w:spacing w:line="312" w:lineRule="auto"/>
        <w:rPr>
          <w:rFonts w:ascii="Tahoma" w:hAnsi="Tahoma" w:cs="Tahoma"/>
          <w:sz w:val="20"/>
          <w:szCs w:val="20"/>
          <w:lang w:val="it-IT"/>
        </w:rPr>
      </w:pPr>
      <w:r>
        <w:rPr>
          <w:rFonts w:ascii="Tahoma" w:hAnsi="Tahoma" w:cs="Tahoma"/>
          <w:sz w:val="20"/>
          <w:szCs w:val="20"/>
          <w:lang w:val="it-IT"/>
        </w:rPr>
        <w:tab/>
        <w:t>Tanah gambut memiliki sifat mudah rusak yaitu kering tidak balik. Kondisi ini menyebabkan tanaman tidak dapat dikelola untuk pengembangan pertanian, sehingga untuk kelestariannya tanah gambut harus berada dalam kondisi lembab agar tidak mudah terbakar. Tanah gambut pada umumnya memiliki derajat kemasaman yang tinggi, kapasitas tukar kation tinggi, namun kejenuhan basa yang rendah. Selain itu berdasarkan bahan baku bentukannya tanah gambut mengandung asam-asam organik dalam jumlah besar terutama asam fenolat yang bersifat meracun bagi tanaman (</w:t>
      </w:r>
      <w:r>
        <w:rPr>
          <w:rFonts w:ascii="Tahoma" w:hAnsi="Tahoma" w:cs="Tahoma"/>
          <w:sz w:val="20"/>
          <w:szCs w:val="20"/>
        </w:rPr>
        <w:t xml:space="preserve">menghambat dan menunda perkecambahan, mematikan biji, menghambat pertumbuhan akar, mengganggu serapan hara, klorosis, tanaman kerdil, layu, dan mati). </w:t>
      </w:r>
      <w:r>
        <w:rPr>
          <w:rFonts w:ascii="Tahoma" w:hAnsi="Tahoma" w:cs="Tahoma"/>
          <w:sz w:val="20"/>
          <w:szCs w:val="20"/>
          <w:lang w:val="it-IT"/>
        </w:rPr>
        <w:t>Asam-asam organik ini juga menyebabkan  terikatnya hara-hara (</w:t>
      </w:r>
      <w:r>
        <w:rPr>
          <w:rFonts w:ascii="Tahoma" w:hAnsi="Tahoma" w:cs="Tahoma"/>
          <w:sz w:val="20"/>
          <w:szCs w:val="20"/>
        </w:rPr>
        <w:t xml:space="preserve">hara makro: N, P, K, Ca, Mg, dan hara mikro seperti Cu, Zn, Mn, Bo) </w:t>
      </w:r>
      <w:r>
        <w:rPr>
          <w:rFonts w:ascii="Tahoma" w:hAnsi="Tahoma" w:cs="Tahoma"/>
          <w:sz w:val="20"/>
          <w:szCs w:val="20"/>
          <w:lang w:val="it-IT"/>
        </w:rPr>
        <w:t xml:space="preserve">yang diperlukan oleh tanaman sehingga ketersediaannya untuk tanaman menjadi rendah meskipun di alam tersedia dalam jumlah melimpah (P dan K). Sifat fisik dan kimia tanah gambut ditentukan oleh: 1)  ketebalan gambut; 2) tingkat kematangan gambut; 3) subatratum yang ada di bawah lapisan gambut; dan 4) ada tidaknya kegiatan pengayaan yang diakibatkan oleh adanya penambahan mineral dari luapan sungai yang ada disekitarnya. </w:t>
      </w:r>
    </w:p>
    <w:p w:rsidR="00A352DB" w:rsidRDefault="00A352DB" w:rsidP="00A352DB">
      <w:pPr>
        <w:spacing w:line="312" w:lineRule="auto"/>
        <w:ind w:firstLine="720"/>
        <w:rPr>
          <w:rFonts w:ascii="Tahoma" w:hAnsi="Tahoma" w:cs="Tahoma"/>
          <w:sz w:val="20"/>
          <w:szCs w:val="20"/>
          <w:lang w:val="it-IT"/>
        </w:rPr>
      </w:pPr>
      <w:r>
        <w:rPr>
          <w:rFonts w:ascii="Tahoma" w:hAnsi="Tahoma" w:cs="Tahoma"/>
          <w:sz w:val="20"/>
          <w:szCs w:val="20"/>
          <w:lang w:val="it-IT"/>
        </w:rPr>
        <w:t xml:space="preserve">Karakteristik tanah gambut pada umumnya akan berubah sebagai akibat aktivitas manusia seperti pembukaan lahan, pembakaran lahan, pembuatan drainase dan penambangan </w:t>
      </w:r>
      <w:r>
        <w:rPr>
          <w:rFonts w:ascii="Tahoma" w:hAnsi="Tahoma" w:cs="Tahoma"/>
          <w:sz w:val="20"/>
          <w:szCs w:val="20"/>
          <w:lang w:val="it-IT"/>
        </w:rPr>
        <w:lastRenderedPageBreak/>
        <w:t>gambut, yang berdampak pada produktivitasnya.</w:t>
      </w:r>
    </w:p>
    <w:p w:rsidR="00A352DB" w:rsidRDefault="00A352DB" w:rsidP="00A352DB">
      <w:pPr>
        <w:spacing w:line="312" w:lineRule="auto"/>
        <w:rPr>
          <w:rFonts w:ascii="Tahoma" w:hAnsi="Tahoma" w:cs="Tahoma"/>
          <w:sz w:val="20"/>
          <w:szCs w:val="20"/>
          <w:lang w:val="it-IT"/>
        </w:rPr>
      </w:pPr>
      <w:r>
        <w:rPr>
          <w:rFonts w:ascii="Tahoma" w:hAnsi="Tahoma" w:cs="Tahoma"/>
          <w:sz w:val="20"/>
          <w:szCs w:val="20"/>
          <w:lang w:val="it-IT"/>
        </w:rPr>
        <w:tab/>
        <w:t xml:space="preserve">Selain derajat kemasaman yang tinggi, pengusahaan pertanian di lahan gambut harus memperhatikan ketebalan gambut karena semakin dalam semakin kurang baik untuk pengembangan komoditas pertanian. Berdasarkan kedalaman gambut dapat dibedakan menjadi : a) bergambut dengan ketebalan 0-50 cm; b) gambut dangkal 50-100 cm; c) gambut sedang (100-200 cm); </w:t>
      </w:r>
      <w:commentRangeStart w:id="0"/>
      <w:r>
        <w:rPr>
          <w:rFonts w:ascii="Tahoma" w:hAnsi="Tahoma" w:cs="Tahoma"/>
          <w:sz w:val="20"/>
          <w:szCs w:val="20"/>
          <w:lang w:val="it-IT"/>
        </w:rPr>
        <w:t xml:space="preserve">d) gambut </w:t>
      </w:r>
      <w:r>
        <w:rPr>
          <w:rFonts w:ascii="Tahoma" w:hAnsi="Tahoma" w:cs="Tahoma"/>
          <w:sz w:val="20"/>
          <w:szCs w:val="20"/>
          <w:lang w:val="it-IT"/>
        </w:rPr>
        <w:lastRenderedPageBreak/>
        <w:t>dalam (200-300 cm) dan gambut sangat dalam (&gt;300 cm).</w:t>
      </w:r>
      <w:commentRangeEnd w:id="0"/>
      <w:r>
        <w:rPr>
          <w:rStyle w:val="CommentReference"/>
        </w:rPr>
        <w:commentReference w:id="0"/>
      </w:r>
      <w:r>
        <w:rPr>
          <w:rFonts w:ascii="Tahoma" w:hAnsi="Tahoma" w:cs="Tahoma"/>
          <w:sz w:val="20"/>
          <w:szCs w:val="20"/>
          <w:lang w:val="it-IT"/>
        </w:rPr>
        <w:t xml:space="preserve"> Semakin tebal gambut akan semakin mudah rusak tanah gambut tersebut apabila tidak tepat pengelolaannya untuk itu sesuai dengan Keputusan Presiden No. 32 tahun 1990 tentang pengelolaan kawasan lindung bahwa gambut dengan kedalaman &gt;3 meter diperuntukkan lahan konservasi, sedangkan ketebalan gambut 0-300 m dapat diusahakan untuk pengembangan tanaman pertanian (Yuliani, 2014).</w:t>
      </w:r>
    </w:p>
    <w:p w:rsidR="00A352DB" w:rsidRDefault="00A352DB" w:rsidP="00A352DB">
      <w:pPr>
        <w:spacing w:line="240" w:lineRule="auto"/>
        <w:jc w:val="left"/>
        <w:rPr>
          <w:rFonts w:ascii="Tahoma" w:hAnsi="Tahoma" w:cs="Tahoma"/>
          <w:sz w:val="20"/>
          <w:szCs w:val="20"/>
        </w:rPr>
        <w:sectPr w:rsidR="00A352DB">
          <w:type w:val="continuous"/>
          <w:pgSz w:w="11907" w:h="16840"/>
          <w:pgMar w:top="1134" w:right="1134" w:bottom="1134" w:left="1843" w:header="720" w:footer="420" w:gutter="0"/>
          <w:cols w:num="2" w:space="283"/>
        </w:sectPr>
      </w:pPr>
    </w:p>
    <w:p w:rsidR="00A352DB" w:rsidRDefault="00A352DB" w:rsidP="00A352DB">
      <w:pPr>
        <w:spacing w:line="240" w:lineRule="auto"/>
        <w:ind w:left="2"/>
        <w:rPr>
          <w:rFonts w:ascii="Tahoma" w:hAnsi="Tahoma" w:cs="Tahoma"/>
          <w:sz w:val="20"/>
          <w:szCs w:val="20"/>
        </w:rPr>
      </w:pPr>
    </w:p>
    <w:p w:rsidR="00A352DB" w:rsidRDefault="00A352DB" w:rsidP="00A352DB">
      <w:pPr>
        <w:spacing w:line="240" w:lineRule="auto"/>
        <w:ind w:left="2"/>
        <w:rPr>
          <w:rFonts w:ascii="Tahoma" w:hAnsi="Tahoma" w:cs="Tahoma"/>
          <w:sz w:val="20"/>
          <w:szCs w:val="20"/>
          <w:lang w:val="it-IT"/>
        </w:rPr>
      </w:pPr>
      <w:proofErr w:type="gramStart"/>
      <w:r>
        <w:rPr>
          <w:rFonts w:ascii="Tahoma" w:hAnsi="Tahoma" w:cs="Tahoma"/>
          <w:sz w:val="20"/>
          <w:szCs w:val="20"/>
        </w:rPr>
        <w:t>Tabel 1.</w:t>
      </w:r>
      <w:proofErr w:type="gramEnd"/>
      <w:r>
        <w:rPr>
          <w:rFonts w:ascii="Tahoma" w:hAnsi="Tahoma" w:cs="Tahoma"/>
          <w:sz w:val="20"/>
          <w:szCs w:val="20"/>
        </w:rPr>
        <w:t xml:space="preserve"> Kesesuaian lahan gambut untuk komoditas pertanian berdasarkan kedalaman gambut</w:t>
      </w:r>
    </w:p>
    <w:p w:rsidR="00A352DB" w:rsidRDefault="00A352DB" w:rsidP="00A352DB">
      <w:pPr>
        <w:spacing w:line="240" w:lineRule="auto"/>
        <w:ind w:left="2"/>
        <w:rPr>
          <w:rFonts w:ascii="Tahoma" w:hAnsi="Tahoma" w:cs="Tahoma"/>
          <w:sz w:val="20"/>
          <w:szCs w:val="20"/>
        </w:rPr>
      </w:pPr>
    </w:p>
    <w:tbl>
      <w:tblPr>
        <w:tblW w:w="8927" w:type="dxa"/>
        <w:tblInd w:w="219" w:type="dxa"/>
        <w:tblCellMar>
          <w:left w:w="0" w:type="dxa"/>
          <w:right w:w="0" w:type="dxa"/>
        </w:tblCellMar>
        <w:tblLook w:val="04A0" w:firstRow="1" w:lastRow="0" w:firstColumn="1" w:lastColumn="0" w:noHBand="0" w:noVBand="1"/>
      </w:tblPr>
      <w:tblGrid>
        <w:gridCol w:w="2036"/>
        <w:gridCol w:w="1421"/>
        <w:gridCol w:w="1137"/>
        <w:gridCol w:w="1187"/>
        <w:gridCol w:w="1187"/>
        <w:gridCol w:w="1959"/>
      </w:tblGrid>
      <w:tr w:rsidR="00A352DB" w:rsidTr="00A352DB">
        <w:trPr>
          <w:trHeight w:val="479"/>
        </w:trPr>
        <w:tc>
          <w:tcPr>
            <w:tcW w:w="2036"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rPr>
              <w:t xml:space="preserve">Kelompok Tanaman </w:t>
            </w:r>
          </w:p>
        </w:tc>
        <w:tc>
          <w:tcPr>
            <w:tcW w:w="142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rPr>
              <w:t xml:space="preserve">Tanah Bergambut </w:t>
            </w:r>
          </w:p>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rPr>
              <w:t>(</w:t>
            </w:r>
            <w:r>
              <w:rPr>
                <w:rFonts w:ascii="Tahoma" w:hAnsi="Tahoma" w:cs="Tahoma"/>
                <w:b/>
                <w:bCs/>
                <w:noProof/>
                <w:color w:val="FFFFFF" w:themeColor="background1"/>
                <w:sz w:val="14"/>
                <w:szCs w:val="20"/>
                <w:lang w:val="it-IT"/>
              </w:rPr>
              <w:t xml:space="preserve">0-50 cm) </w:t>
            </w:r>
          </w:p>
        </w:tc>
        <w:tc>
          <w:tcPr>
            <w:tcW w:w="1137"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lang w:val="it-IT"/>
              </w:rPr>
              <w:t>Gambut Dangkal</w:t>
            </w:r>
          </w:p>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lang w:val="it-IT"/>
              </w:rPr>
              <w:t xml:space="preserve">(50-100 cm) </w:t>
            </w:r>
          </w:p>
        </w:tc>
        <w:tc>
          <w:tcPr>
            <w:tcW w:w="1187"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lang w:val="it-IT"/>
              </w:rPr>
              <w:t>Gambut Sedang</w:t>
            </w:r>
          </w:p>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lang w:val="it-IT"/>
              </w:rPr>
              <w:t xml:space="preserve">(100-200 cm) </w:t>
            </w:r>
          </w:p>
        </w:tc>
        <w:tc>
          <w:tcPr>
            <w:tcW w:w="1187"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lang w:val="it-IT"/>
              </w:rPr>
              <w:t>Gambut Dalam</w:t>
            </w:r>
          </w:p>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lang w:val="it-IT"/>
              </w:rPr>
              <w:t xml:space="preserve">(200-300 cm) </w:t>
            </w:r>
          </w:p>
        </w:tc>
        <w:tc>
          <w:tcPr>
            <w:tcW w:w="195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lang w:val="it-IT"/>
              </w:rPr>
              <w:t xml:space="preserve">Gambut Sangat Dalam </w:t>
            </w:r>
          </w:p>
          <w:p w:rsidR="00A352DB" w:rsidRDefault="00A352DB">
            <w:pPr>
              <w:spacing w:line="240" w:lineRule="auto"/>
              <w:ind w:left="2"/>
              <w:jc w:val="center"/>
              <w:rPr>
                <w:rFonts w:ascii="Tahoma" w:hAnsi="Tahoma" w:cs="Tahoma"/>
                <w:noProof/>
                <w:color w:val="FFFFFF" w:themeColor="background1"/>
                <w:sz w:val="14"/>
                <w:szCs w:val="20"/>
              </w:rPr>
            </w:pPr>
            <w:r>
              <w:rPr>
                <w:rFonts w:ascii="Tahoma" w:hAnsi="Tahoma" w:cs="Tahoma"/>
                <w:b/>
                <w:bCs/>
                <w:noProof/>
                <w:color w:val="FFFFFF" w:themeColor="background1"/>
                <w:sz w:val="14"/>
                <w:szCs w:val="20"/>
                <w:lang w:val="it-IT"/>
              </w:rPr>
              <w:t>(&gt;300 cm).</w:t>
            </w:r>
            <w:r>
              <w:rPr>
                <w:rFonts w:ascii="Tahoma" w:hAnsi="Tahoma" w:cs="Tahoma"/>
                <w:b/>
                <w:bCs/>
                <w:noProof/>
                <w:color w:val="FFFFFF" w:themeColor="background1"/>
                <w:sz w:val="14"/>
                <w:szCs w:val="20"/>
              </w:rPr>
              <w:t xml:space="preserve">   </w:t>
            </w:r>
          </w:p>
        </w:tc>
      </w:tr>
      <w:tr w:rsidR="00A352DB" w:rsidTr="00A352DB">
        <w:trPr>
          <w:trHeight w:val="401"/>
        </w:trPr>
        <w:tc>
          <w:tcPr>
            <w:tcW w:w="2036"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left"/>
              <w:rPr>
                <w:rFonts w:ascii="Tahoma" w:hAnsi="Tahoma" w:cs="Tahoma"/>
                <w:noProof/>
                <w:sz w:val="14"/>
                <w:szCs w:val="20"/>
              </w:rPr>
            </w:pPr>
            <w:r>
              <w:rPr>
                <w:rFonts w:ascii="Tahoma" w:hAnsi="Tahoma" w:cs="Tahoma"/>
                <w:noProof/>
                <w:sz w:val="14"/>
                <w:szCs w:val="20"/>
              </w:rPr>
              <w:t xml:space="preserve">Tanaman pangan (padi, jagung, ubi kayu, ubi jala, dll) </w:t>
            </w:r>
          </w:p>
        </w:tc>
        <w:tc>
          <w:tcPr>
            <w:tcW w:w="142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 xml:space="preserve">+++ </w:t>
            </w:r>
          </w:p>
        </w:tc>
        <w:tc>
          <w:tcPr>
            <w:tcW w:w="1137"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w:t>
            </w:r>
          </w:p>
        </w:tc>
        <w:tc>
          <w:tcPr>
            <w:tcW w:w="1187"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w:t>
            </w:r>
          </w:p>
        </w:tc>
        <w:tc>
          <w:tcPr>
            <w:tcW w:w="1187"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 xml:space="preserve">-- </w:t>
            </w:r>
          </w:p>
        </w:tc>
        <w:tc>
          <w:tcPr>
            <w:tcW w:w="195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left"/>
              <w:rPr>
                <w:rFonts w:ascii="Tahoma" w:hAnsi="Tahoma" w:cs="Tahoma"/>
                <w:noProof/>
                <w:sz w:val="14"/>
                <w:szCs w:val="20"/>
              </w:rPr>
            </w:pPr>
            <w:r>
              <w:rPr>
                <w:rFonts w:ascii="Tahoma" w:hAnsi="Tahoma" w:cs="Tahoma"/>
                <w:noProof/>
                <w:sz w:val="14"/>
                <w:szCs w:val="20"/>
              </w:rPr>
              <w:t xml:space="preserve">-- Kawasan konservasi/lindung </w:t>
            </w:r>
          </w:p>
        </w:tc>
      </w:tr>
      <w:tr w:rsidR="00A352DB" w:rsidTr="00A352DB">
        <w:trPr>
          <w:trHeight w:val="258"/>
        </w:trPr>
        <w:tc>
          <w:tcPr>
            <w:tcW w:w="2036"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left"/>
              <w:rPr>
                <w:rFonts w:ascii="Tahoma" w:hAnsi="Tahoma" w:cs="Tahoma"/>
                <w:noProof/>
                <w:sz w:val="14"/>
                <w:szCs w:val="20"/>
              </w:rPr>
            </w:pPr>
            <w:r>
              <w:rPr>
                <w:rFonts w:ascii="Tahoma" w:hAnsi="Tahoma" w:cs="Tahoma"/>
                <w:noProof/>
                <w:sz w:val="14"/>
                <w:szCs w:val="20"/>
              </w:rPr>
              <w:t xml:space="preserve">Palawija (Kedelai, kacang tanah, kacang hijau, dll) </w:t>
            </w:r>
          </w:p>
        </w:tc>
        <w:tc>
          <w:tcPr>
            <w:tcW w:w="142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 xml:space="preserve">+++ </w:t>
            </w:r>
          </w:p>
        </w:tc>
        <w:tc>
          <w:tcPr>
            <w:tcW w:w="113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w:t>
            </w:r>
          </w:p>
        </w:tc>
        <w:tc>
          <w:tcPr>
            <w:tcW w:w="118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 xml:space="preserve">++ </w:t>
            </w:r>
          </w:p>
        </w:tc>
        <w:tc>
          <w:tcPr>
            <w:tcW w:w="118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 xml:space="preserve">+ </w:t>
            </w:r>
          </w:p>
        </w:tc>
        <w:tc>
          <w:tcPr>
            <w:tcW w:w="195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left"/>
              <w:rPr>
                <w:rFonts w:ascii="Tahoma" w:hAnsi="Tahoma" w:cs="Tahoma"/>
                <w:noProof/>
                <w:sz w:val="14"/>
                <w:szCs w:val="20"/>
              </w:rPr>
            </w:pPr>
            <w:r>
              <w:rPr>
                <w:rFonts w:ascii="Tahoma" w:hAnsi="Tahoma" w:cs="Tahoma"/>
                <w:noProof/>
                <w:sz w:val="14"/>
                <w:szCs w:val="20"/>
              </w:rPr>
              <w:t xml:space="preserve">-- Kawasan konservasi/lindung </w:t>
            </w:r>
          </w:p>
        </w:tc>
      </w:tr>
      <w:tr w:rsidR="00A352DB" w:rsidTr="00A352DB">
        <w:trPr>
          <w:trHeight w:val="258"/>
        </w:trPr>
        <w:tc>
          <w:tcPr>
            <w:tcW w:w="2036"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left"/>
              <w:rPr>
                <w:rFonts w:ascii="Tahoma" w:hAnsi="Tahoma" w:cs="Tahoma"/>
                <w:noProof/>
                <w:sz w:val="14"/>
                <w:szCs w:val="20"/>
              </w:rPr>
            </w:pPr>
            <w:r>
              <w:rPr>
                <w:rFonts w:ascii="Tahoma" w:hAnsi="Tahoma" w:cs="Tahoma"/>
                <w:noProof/>
                <w:sz w:val="14"/>
                <w:szCs w:val="20"/>
              </w:rPr>
              <w:t xml:space="preserve">Tanaman hortikultura, sayuran (cabe, terong, tomat, mentimun, dll </w:t>
            </w:r>
          </w:p>
        </w:tc>
        <w:tc>
          <w:tcPr>
            <w:tcW w:w="1421"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 xml:space="preserve">+++ </w:t>
            </w:r>
          </w:p>
        </w:tc>
        <w:tc>
          <w:tcPr>
            <w:tcW w:w="113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w:t>
            </w:r>
          </w:p>
        </w:tc>
        <w:tc>
          <w:tcPr>
            <w:tcW w:w="118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 xml:space="preserve">++ </w:t>
            </w:r>
          </w:p>
        </w:tc>
        <w:tc>
          <w:tcPr>
            <w:tcW w:w="1187"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 xml:space="preserve">+ </w:t>
            </w:r>
          </w:p>
        </w:tc>
        <w:tc>
          <w:tcPr>
            <w:tcW w:w="1959"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A352DB" w:rsidRDefault="00A352DB">
            <w:pPr>
              <w:spacing w:line="240" w:lineRule="auto"/>
              <w:ind w:left="2"/>
              <w:jc w:val="left"/>
              <w:rPr>
                <w:rFonts w:ascii="Tahoma" w:hAnsi="Tahoma" w:cs="Tahoma"/>
                <w:noProof/>
                <w:sz w:val="14"/>
                <w:szCs w:val="20"/>
              </w:rPr>
            </w:pPr>
            <w:r>
              <w:rPr>
                <w:rFonts w:ascii="Tahoma" w:hAnsi="Tahoma" w:cs="Tahoma"/>
                <w:noProof/>
                <w:sz w:val="14"/>
                <w:szCs w:val="20"/>
              </w:rPr>
              <w:t xml:space="preserve">-- Kawasan konservasi/lindung </w:t>
            </w:r>
          </w:p>
        </w:tc>
      </w:tr>
      <w:tr w:rsidR="00A352DB" w:rsidTr="00A352DB">
        <w:trPr>
          <w:trHeight w:val="258"/>
        </w:trPr>
        <w:tc>
          <w:tcPr>
            <w:tcW w:w="2036"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left"/>
              <w:rPr>
                <w:rFonts w:ascii="Tahoma" w:hAnsi="Tahoma" w:cs="Tahoma"/>
                <w:noProof/>
                <w:sz w:val="14"/>
                <w:szCs w:val="20"/>
              </w:rPr>
            </w:pPr>
            <w:r>
              <w:rPr>
                <w:rFonts w:ascii="Tahoma" w:hAnsi="Tahoma" w:cs="Tahoma"/>
                <w:noProof/>
                <w:sz w:val="14"/>
                <w:szCs w:val="20"/>
              </w:rPr>
              <w:t xml:space="preserve">Tanaman hortikultura, buah (rambutan, nangka, dll) </w:t>
            </w:r>
          </w:p>
        </w:tc>
        <w:tc>
          <w:tcPr>
            <w:tcW w:w="1421"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 xml:space="preserve">+++ </w:t>
            </w:r>
          </w:p>
        </w:tc>
        <w:tc>
          <w:tcPr>
            <w:tcW w:w="113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w:t>
            </w:r>
          </w:p>
        </w:tc>
        <w:tc>
          <w:tcPr>
            <w:tcW w:w="118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w:t>
            </w:r>
          </w:p>
        </w:tc>
        <w:tc>
          <w:tcPr>
            <w:tcW w:w="1187"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center"/>
              <w:rPr>
                <w:rFonts w:ascii="Tahoma" w:hAnsi="Tahoma" w:cs="Tahoma"/>
                <w:noProof/>
                <w:sz w:val="14"/>
                <w:szCs w:val="20"/>
              </w:rPr>
            </w:pPr>
            <w:r>
              <w:rPr>
                <w:rFonts w:ascii="Tahoma" w:hAnsi="Tahoma" w:cs="Tahoma"/>
                <w:noProof/>
                <w:sz w:val="14"/>
                <w:szCs w:val="20"/>
              </w:rPr>
              <w:t>++</w:t>
            </w:r>
          </w:p>
        </w:tc>
        <w:tc>
          <w:tcPr>
            <w:tcW w:w="1959"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A352DB" w:rsidRDefault="00A352DB">
            <w:pPr>
              <w:spacing w:line="240" w:lineRule="auto"/>
              <w:ind w:left="2"/>
              <w:jc w:val="left"/>
              <w:rPr>
                <w:rFonts w:ascii="Tahoma" w:hAnsi="Tahoma" w:cs="Tahoma"/>
                <w:noProof/>
                <w:sz w:val="14"/>
                <w:szCs w:val="20"/>
              </w:rPr>
            </w:pPr>
            <w:r>
              <w:rPr>
                <w:rFonts w:ascii="Tahoma" w:hAnsi="Tahoma" w:cs="Tahoma"/>
                <w:noProof/>
                <w:sz w:val="14"/>
                <w:szCs w:val="20"/>
              </w:rPr>
              <w:t xml:space="preserve">-- Kawasan konservasi/lindung </w:t>
            </w:r>
          </w:p>
        </w:tc>
      </w:tr>
    </w:tbl>
    <w:p w:rsidR="00A352DB" w:rsidRDefault="00A352DB" w:rsidP="00A352DB">
      <w:pPr>
        <w:spacing w:line="240" w:lineRule="auto"/>
        <w:ind w:left="2"/>
        <w:jc w:val="center"/>
        <w:rPr>
          <w:rFonts w:ascii="Tahoma" w:hAnsi="Tahoma" w:cs="Tahoma"/>
          <w:noProof/>
          <w:sz w:val="20"/>
          <w:szCs w:val="20"/>
        </w:rPr>
      </w:pPr>
    </w:p>
    <w:p w:rsidR="00A352DB" w:rsidRDefault="00A352DB" w:rsidP="00A352DB">
      <w:pPr>
        <w:spacing w:line="240" w:lineRule="auto"/>
        <w:ind w:left="142"/>
        <w:jc w:val="left"/>
        <w:rPr>
          <w:rFonts w:ascii="Tahoma" w:hAnsi="Tahoma" w:cs="Tahoma"/>
          <w:noProof/>
          <w:sz w:val="18"/>
          <w:szCs w:val="18"/>
        </w:rPr>
      </w:pPr>
      <w:r>
        <w:rPr>
          <w:rFonts w:ascii="Tahoma" w:hAnsi="Tahoma" w:cs="Tahoma"/>
          <w:sz w:val="18"/>
          <w:szCs w:val="18"/>
          <w:lang w:val="it-IT"/>
        </w:rPr>
        <w:t>Sumber: Wahyunto, 2013</w:t>
      </w:r>
    </w:p>
    <w:p w:rsidR="00A352DB" w:rsidRDefault="00A352DB" w:rsidP="00A352DB">
      <w:pPr>
        <w:spacing w:line="240" w:lineRule="auto"/>
        <w:ind w:left="2"/>
        <w:rPr>
          <w:rFonts w:ascii="Tahoma" w:hAnsi="Tahoma" w:cs="Tahoma"/>
          <w:noProof/>
          <w:sz w:val="20"/>
          <w:szCs w:val="20"/>
        </w:rPr>
      </w:pPr>
    </w:p>
    <w:p w:rsidR="00A352DB" w:rsidRDefault="00A352DB" w:rsidP="00A352DB">
      <w:pPr>
        <w:spacing w:line="240" w:lineRule="auto"/>
        <w:jc w:val="left"/>
        <w:rPr>
          <w:rFonts w:ascii="Tahoma" w:hAnsi="Tahoma" w:cs="Tahoma"/>
          <w:noProof/>
          <w:sz w:val="20"/>
          <w:szCs w:val="20"/>
        </w:rPr>
        <w:sectPr w:rsidR="00A352DB">
          <w:type w:val="continuous"/>
          <w:pgSz w:w="11907" w:h="16840"/>
          <w:pgMar w:top="1134" w:right="1134" w:bottom="1134" w:left="1843" w:header="720" w:footer="420" w:gutter="0"/>
          <w:cols w:space="720"/>
        </w:sectPr>
      </w:pPr>
    </w:p>
    <w:p w:rsidR="00A352DB" w:rsidRDefault="00A352DB" w:rsidP="00A352DB">
      <w:pPr>
        <w:spacing w:line="312" w:lineRule="auto"/>
        <w:ind w:firstLine="720"/>
        <w:rPr>
          <w:rFonts w:ascii="Tahoma" w:hAnsi="Tahoma" w:cs="Tahoma"/>
          <w:sz w:val="20"/>
          <w:szCs w:val="20"/>
          <w:lang w:val="it-IT"/>
        </w:rPr>
      </w:pPr>
      <w:r>
        <w:rPr>
          <w:rFonts w:ascii="Tahoma" w:hAnsi="Tahoma" w:cs="Tahoma"/>
          <w:sz w:val="20"/>
          <w:szCs w:val="20"/>
          <w:lang w:val="it-IT"/>
        </w:rPr>
        <w:lastRenderedPageBreak/>
        <w:t>Tabel 1 menunjukkan bahwa tanaman pangan hanya dapat diusahakan sampai kedalaman gambut 200 cm sedangkan tanaman palawija dan hortikultura masih dapat diusahakan hingga kedalaman gambut 300 cm</w:t>
      </w:r>
      <w:r>
        <w:rPr>
          <w:rFonts w:ascii="Tahoma" w:hAnsi="Tahoma" w:cs="Tahoma"/>
          <w:sz w:val="20"/>
          <w:szCs w:val="20"/>
          <w:lang w:val="it-IT"/>
        </w:rPr>
        <w:tab/>
      </w:r>
    </w:p>
    <w:p w:rsidR="00A352DB" w:rsidRDefault="00A352DB" w:rsidP="00A352DB">
      <w:pPr>
        <w:spacing w:line="312" w:lineRule="auto"/>
        <w:ind w:firstLine="720"/>
        <w:rPr>
          <w:rFonts w:ascii="Tahoma" w:hAnsi="Tahoma" w:cs="Tahoma"/>
          <w:sz w:val="20"/>
          <w:szCs w:val="20"/>
          <w:lang w:val="it-IT"/>
        </w:rPr>
      </w:pPr>
      <w:r>
        <w:rPr>
          <w:rFonts w:ascii="Tahoma" w:hAnsi="Tahoma" w:cs="Tahoma"/>
          <w:sz w:val="20"/>
          <w:szCs w:val="20"/>
          <w:lang w:val="it-IT"/>
        </w:rPr>
        <w:t xml:space="preserve">Tingkat kematangan gambut juga mempengaruhi ketersediaan hara bagi tanaman. </w:t>
      </w:r>
      <w:r>
        <w:rPr>
          <w:rFonts w:ascii="Tahoma" w:hAnsi="Tahoma" w:cs="Tahoma"/>
          <w:sz w:val="20"/>
          <w:szCs w:val="20"/>
          <w:lang w:val="it-IT"/>
        </w:rPr>
        <w:lastRenderedPageBreak/>
        <w:t xml:space="preserve">Berdasarkan tingkat kematangannya, tanah gambut dibedakan menjadi : 1) Gambut saprik (sudah matang), hemik (setengah matang) dan fibrik (gambut yang masih belum terdekomposisi dengan baik. </w:t>
      </w:r>
    </w:p>
    <w:p w:rsidR="00A352DB" w:rsidRDefault="00A352DB" w:rsidP="00A352DB">
      <w:pPr>
        <w:spacing w:line="312" w:lineRule="auto"/>
        <w:jc w:val="left"/>
        <w:rPr>
          <w:rFonts w:ascii="Tahoma" w:hAnsi="Tahoma" w:cs="Tahoma"/>
          <w:sz w:val="20"/>
          <w:szCs w:val="20"/>
        </w:rPr>
        <w:sectPr w:rsidR="00A352DB">
          <w:type w:val="continuous"/>
          <w:pgSz w:w="11907" w:h="16840"/>
          <w:pgMar w:top="1134" w:right="1134" w:bottom="1134" w:left="1843" w:header="720" w:footer="420" w:gutter="0"/>
          <w:cols w:num="2" w:space="283"/>
        </w:sectPr>
      </w:pPr>
    </w:p>
    <w:p w:rsidR="00A352DB" w:rsidRDefault="00A352DB" w:rsidP="00A352DB">
      <w:pPr>
        <w:spacing w:line="240" w:lineRule="auto"/>
        <w:ind w:left="851" w:hanging="851"/>
        <w:rPr>
          <w:rFonts w:ascii="Tahoma" w:hAnsi="Tahoma" w:cs="Tahoma"/>
          <w:sz w:val="16"/>
          <w:szCs w:val="16"/>
        </w:rPr>
      </w:pPr>
    </w:p>
    <w:p w:rsidR="00A352DB" w:rsidRDefault="00A352DB" w:rsidP="00A352DB">
      <w:pPr>
        <w:spacing w:after="120" w:line="240" w:lineRule="auto"/>
        <w:ind w:left="851" w:hanging="851"/>
        <w:rPr>
          <w:rFonts w:ascii="Tahoma" w:hAnsi="Tahoma" w:cs="Tahoma"/>
          <w:sz w:val="20"/>
          <w:szCs w:val="20"/>
        </w:rPr>
      </w:pPr>
      <w:proofErr w:type="gramStart"/>
      <w:r>
        <w:rPr>
          <w:rFonts w:ascii="Tahoma" w:hAnsi="Tahoma" w:cs="Tahoma"/>
          <w:sz w:val="20"/>
          <w:szCs w:val="20"/>
        </w:rPr>
        <w:t>Tabel 2.</w:t>
      </w:r>
      <w:proofErr w:type="gramEnd"/>
      <w:r>
        <w:rPr>
          <w:rFonts w:ascii="Tahoma" w:hAnsi="Tahoma" w:cs="Tahoma"/>
          <w:sz w:val="20"/>
          <w:szCs w:val="20"/>
        </w:rPr>
        <w:tab/>
        <w:t>Kesesuaian lahan gambut untuk komoditas pertanian berdasarkan ketebalan dan kematangan gambut</w:t>
      </w:r>
    </w:p>
    <w:tbl>
      <w:tblPr>
        <w:tblStyle w:val="LightGrid-Accent3"/>
        <w:tblW w:w="489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010"/>
        <w:gridCol w:w="2749"/>
        <w:gridCol w:w="1502"/>
        <w:gridCol w:w="1411"/>
        <w:gridCol w:w="1282"/>
      </w:tblGrid>
      <w:tr w:rsidR="00A352DB" w:rsidTr="00A352DB">
        <w:trPr>
          <w:cnfStyle w:val="100000000000" w:firstRow="1" w:lastRow="0" w:firstColumn="0" w:lastColumn="0" w:oddVBand="0" w:evenVBand="0" w:oddHBand="0" w:evenHBand="0" w:firstRowFirstColumn="0" w:firstRowLastColumn="0" w:lastRowFirstColumn="0" w:lastRowLastColumn="0"/>
          <w:trHeight w:val="220"/>
        </w:trPr>
        <w:tc>
          <w:tcPr>
            <w:tcW w:w="1122" w:type="pct"/>
            <w:vMerge w:val="restart"/>
            <w:tcBorders>
              <w:bottom w:val="single" w:sz="8" w:space="0" w:color="9BBB59" w:themeColor="accent3"/>
            </w:tcBorders>
            <w:hideMark/>
          </w:tcPr>
          <w:p w:rsidR="00A352DB" w:rsidRDefault="00A352DB">
            <w:pPr>
              <w:spacing w:line="240" w:lineRule="auto"/>
              <w:jc w:val="center"/>
              <w:rPr>
                <w:rFonts w:ascii="Tahoma" w:hAnsi="Tahoma" w:cs="Tahoma"/>
                <w:sz w:val="16"/>
                <w:szCs w:val="16"/>
              </w:rPr>
            </w:pPr>
            <w:r>
              <w:rPr>
                <w:rFonts w:ascii="Tahoma" w:hAnsi="Tahoma" w:cs="Tahoma"/>
                <w:bCs w:val="0"/>
                <w:sz w:val="16"/>
                <w:szCs w:val="16"/>
              </w:rPr>
              <w:t>Kelompok Taaman</w:t>
            </w:r>
          </w:p>
        </w:tc>
        <w:tc>
          <w:tcPr>
            <w:tcW w:w="1535" w:type="pct"/>
            <w:vMerge w:val="restart"/>
            <w:tcBorders>
              <w:bottom w:val="single" w:sz="8" w:space="0" w:color="9BBB59" w:themeColor="accent3"/>
            </w:tcBorders>
            <w:hideMark/>
          </w:tcPr>
          <w:p w:rsidR="00A352DB" w:rsidRDefault="00A352DB">
            <w:pPr>
              <w:spacing w:line="240" w:lineRule="auto"/>
              <w:jc w:val="center"/>
              <w:rPr>
                <w:rFonts w:ascii="Tahoma" w:hAnsi="Tahoma" w:cs="Tahoma"/>
                <w:sz w:val="16"/>
                <w:szCs w:val="16"/>
              </w:rPr>
            </w:pPr>
            <w:r>
              <w:rPr>
                <w:rFonts w:ascii="Tahoma" w:hAnsi="Tahoma" w:cs="Tahoma"/>
                <w:bCs w:val="0"/>
                <w:sz w:val="16"/>
                <w:szCs w:val="16"/>
              </w:rPr>
              <w:t>Karakteristik gambut</w:t>
            </w:r>
          </w:p>
        </w:tc>
        <w:tc>
          <w:tcPr>
            <w:tcW w:w="2343" w:type="pct"/>
            <w:gridSpan w:val="3"/>
            <w:hideMark/>
          </w:tcPr>
          <w:p w:rsidR="00A352DB" w:rsidRDefault="00A352DB">
            <w:pPr>
              <w:spacing w:line="240" w:lineRule="auto"/>
              <w:jc w:val="center"/>
              <w:rPr>
                <w:rFonts w:ascii="Tahoma" w:hAnsi="Tahoma" w:cs="Tahoma"/>
                <w:sz w:val="16"/>
                <w:szCs w:val="16"/>
              </w:rPr>
            </w:pPr>
            <w:r>
              <w:rPr>
                <w:rFonts w:ascii="Tahoma" w:hAnsi="Tahoma" w:cs="Tahoma"/>
                <w:sz w:val="16"/>
                <w:szCs w:val="16"/>
                <w:lang w:val="en-GB"/>
              </w:rPr>
              <w:t>Kesesuaian lahan</w:t>
            </w:r>
          </w:p>
        </w:tc>
      </w:tr>
      <w:tr w:rsidR="00A352DB" w:rsidTr="00A352DB">
        <w:trPr>
          <w:cnfStyle w:val="000000100000" w:firstRow="0" w:lastRow="0" w:firstColumn="0" w:lastColumn="0" w:oddVBand="0" w:evenVBand="0" w:oddHBand="1" w:evenHBand="0" w:firstRowFirstColumn="0" w:firstRowLastColumn="0" w:lastRowFirstColumn="0" w:lastRowLastColumn="0"/>
          <w:trHeight w:val="220"/>
        </w:trPr>
        <w:tc>
          <w:tcPr>
            <w:tcW w:w="0" w:type="auto"/>
            <w:vMerge/>
            <w:vAlign w:val="center"/>
            <w:hideMark/>
          </w:tcPr>
          <w:p w:rsidR="00A352DB" w:rsidRDefault="00A352DB">
            <w:pPr>
              <w:spacing w:line="240" w:lineRule="auto"/>
              <w:jc w:val="left"/>
              <w:rPr>
                <w:rFonts w:ascii="Tahoma" w:eastAsiaTheme="majorEastAsia" w:hAnsi="Tahoma" w:cs="Tahoma"/>
                <w:b/>
                <w:bCs/>
                <w:sz w:val="16"/>
                <w:szCs w:val="16"/>
              </w:rPr>
            </w:pPr>
          </w:p>
        </w:tc>
        <w:tc>
          <w:tcPr>
            <w:tcW w:w="0" w:type="auto"/>
            <w:vMerge/>
            <w:vAlign w:val="center"/>
            <w:hideMark/>
          </w:tcPr>
          <w:p w:rsidR="00A352DB" w:rsidRDefault="00A352DB">
            <w:pPr>
              <w:spacing w:line="240" w:lineRule="auto"/>
              <w:jc w:val="left"/>
              <w:rPr>
                <w:rFonts w:ascii="Tahoma" w:eastAsiaTheme="majorEastAsia" w:hAnsi="Tahoma" w:cs="Tahoma"/>
                <w:b/>
                <w:bCs/>
                <w:sz w:val="16"/>
                <w:szCs w:val="16"/>
              </w:rPr>
            </w:pPr>
          </w:p>
        </w:tc>
        <w:tc>
          <w:tcPr>
            <w:tcW w:w="839" w:type="pct"/>
            <w:hideMark/>
          </w:tcPr>
          <w:p w:rsidR="00A352DB" w:rsidRDefault="00A352DB">
            <w:pPr>
              <w:spacing w:line="240" w:lineRule="auto"/>
              <w:jc w:val="center"/>
              <w:rPr>
                <w:rFonts w:ascii="Tahoma" w:hAnsi="Tahoma" w:cs="Tahoma"/>
                <w:b/>
                <w:sz w:val="16"/>
                <w:szCs w:val="16"/>
              </w:rPr>
            </w:pPr>
            <w:r>
              <w:rPr>
                <w:rFonts w:ascii="Tahoma" w:hAnsi="Tahoma" w:cs="Tahoma"/>
                <w:b/>
                <w:sz w:val="16"/>
                <w:szCs w:val="16"/>
              </w:rPr>
              <w:t>Sesuai</w:t>
            </w:r>
          </w:p>
        </w:tc>
        <w:tc>
          <w:tcPr>
            <w:tcW w:w="788" w:type="pct"/>
            <w:hideMark/>
          </w:tcPr>
          <w:p w:rsidR="00A352DB" w:rsidRDefault="00A352DB">
            <w:pPr>
              <w:spacing w:line="240" w:lineRule="auto"/>
              <w:jc w:val="center"/>
              <w:rPr>
                <w:rFonts w:ascii="Tahoma" w:hAnsi="Tahoma" w:cs="Tahoma"/>
                <w:b/>
                <w:sz w:val="16"/>
                <w:szCs w:val="16"/>
              </w:rPr>
            </w:pPr>
            <w:r>
              <w:rPr>
                <w:rFonts w:ascii="Tahoma" w:hAnsi="Tahoma" w:cs="Tahoma"/>
                <w:b/>
                <w:sz w:val="16"/>
                <w:szCs w:val="16"/>
              </w:rPr>
              <w:t>Cukup sesuai</w:t>
            </w:r>
          </w:p>
        </w:tc>
        <w:tc>
          <w:tcPr>
            <w:tcW w:w="716" w:type="pct"/>
            <w:hideMark/>
          </w:tcPr>
          <w:p w:rsidR="00A352DB" w:rsidRDefault="00A352DB">
            <w:pPr>
              <w:spacing w:line="240" w:lineRule="auto"/>
              <w:jc w:val="center"/>
              <w:rPr>
                <w:rFonts w:ascii="Tahoma" w:hAnsi="Tahoma" w:cs="Tahoma"/>
                <w:b/>
                <w:sz w:val="16"/>
                <w:szCs w:val="16"/>
              </w:rPr>
            </w:pPr>
            <w:r>
              <w:rPr>
                <w:rFonts w:ascii="Tahoma" w:hAnsi="Tahoma" w:cs="Tahoma"/>
                <w:b/>
                <w:sz w:val="16"/>
                <w:szCs w:val="16"/>
              </w:rPr>
              <w:t>N</w:t>
            </w:r>
          </w:p>
        </w:tc>
      </w:tr>
      <w:tr w:rsidR="00A352DB" w:rsidTr="00A352DB">
        <w:trPr>
          <w:cnfStyle w:val="000000010000" w:firstRow="0" w:lastRow="0" w:firstColumn="0" w:lastColumn="0" w:oddVBand="0" w:evenVBand="0" w:oddHBand="0" w:evenHBand="1" w:firstRowFirstColumn="0" w:firstRowLastColumn="0" w:lastRowFirstColumn="0" w:lastRowLastColumn="0"/>
          <w:trHeight w:val="220"/>
        </w:trPr>
        <w:tc>
          <w:tcPr>
            <w:tcW w:w="1122" w:type="pct"/>
            <w:vMerge w:val="restart"/>
            <w:hideMark/>
          </w:tcPr>
          <w:p w:rsidR="00A352DB" w:rsidRDefault="00A352DB">
            <w:pPr>
              <w:spacing w:line="240" w:lineRule="auto"/>
              <w:rPr>
                <w:rFonts w:ascii="Tahoma" w:hAnsi="Tahoma" w:cs="Tahoma"/>
                <w:sz w:val="16"/>
                <w:szCs w:val="16"/>
              </w:rPr>
            </w:pPr>
            <w:r>
              <w:rPr>
                <w:rFonts w:ascii="Tahoma" w:hAnsi="Tahoma" w:cs="Tahoma"/>
                <w:sz w:val="16"/>
                <w:szCs w:val="16"/>
                <w:lang w:val="fi-FI"/>
              </w:rPr>
              <w:t xml:space="preserve">Tanaman </w:t>
            </w:r>
          </w:p>
          <w:p w:rsidR="00A352DB" w:rsidRDefault="00A352DB">
            <w:pPr>
              <w:spacing w:line="240" w:lineRule="auto"/>
              <w:rPr>
                <w:rFonts w:ascii="Tahoma" w:hAnsi="Tahoma" w:cs="Tahoma"/>
                <w:sz w:val="16"/>
                <w:szCs w:val="16"/>
              </w:rPr>
            </w:pPr>
            <w:r>
              <w:rPr>
                <w:rFonts w:ascii="Tahoma" w:hAnsi="Tahoma" w:cs="Tahoma"/>
                <w:sz w:val="16"/>
                <w:szCs w:val="16"/>
                <w:lang w:val="fi-FI"/>
              </w:rPr>
              <w:t xml:space="preserve">Pangan (padi </w:t>
            </w:r>
          </w:p>
          <w:p w:rsidR="00A352DB" w:rsidRDefault="00A352DB">
            <w:pPr>
              <w:spacing w:line="240" w:lineRule="auto"/>
              <w:rPr>
                <w:rFonts w:ascii="Tahoma" w:hAnsi="Tahoma" w:cs="Tahoma"/>
                <w:sz w:val="16"/>
                <w:szCs w:val="16"/>
              </w:rPr>
            </w:pPr>
            <w:r>
              <w:rPr>
                <w:rFonts w:ascii="Tahoma" w:hAnsi="Tahoma" w:cs="Tahoma"/>
                <w:sz w:val="16"/>
                <w:szCs w:val="16"/>
                <w:lang w:val="fi-FI"/>
              </w:rPr>
              <w:t xml:space="preserve">dan palawija) </w:t>
            </w:r>
          </w:p>
        </w:tc>
        <w:tc>
          <w:tcPr>
            <w:tcW w:w="1535"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Kematangan</w:t>
            </w:r>
          </w:p>
        </w:tc>
        <w:tc>
          <w:tcPr>
            <w:tcW w:w="839"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Saprik, hemik </w:t>
            </w:r>
          </w:p>
        </w:tc>
        <w:tc>
          <w:tcPr>
            <w:tcW w:w="788"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Hemik</w:t>
            </w:r>
          </w:p>
        </w:tc>
        <w:tc>
          <w:tcPr>
            <w:tcW w:w="716"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Fibrik </w:t>
            </w:r>
          </w:p>
        </w:tc>
      </w:tr>
      <w:tr w:rsidR="00A352DB" w:rsidTr="00A352DB">
        <w:trPr>
          <w:cnfStyle w:val="000000100000" w:firstRow="0" w:lastRow="0" w:firstColumn="0" w:lastColumn="0" w:oddVBand="0" w:evenVBand="0" w:oddHBand="1" w:evenHBand="0" w:firstRowFirstColumn="0" w:firstRowLastColumn="0" w:lastRowFirstColumn="0" w:lastRowLastColumn="0"/>
          <w:trHeight w:val="409"/>
        </w:trPr>
        <w:tc>
          <w:tcPr>
            <w:tcW w:w="0" w:type="auto"/>
            <w:vMerge/>
            <w:vAlign w:val="center"/>
            <w:hideMark/>
          </w:tcPr>
          <w:p w:rsidR="00A352DB" w:rsidRDefault="00A352DB">
            <w:pPr>
              <w:spacing w:line="240" w:lineRule="auto"/>
              <w:jc w:val="left"/>
              <w:rPr>
                <w:rFonts w:ascii="Tahoma" w:hAnsi="Tahoma" w:cs="Tahoma"/>
                <w:sz w:val="16"/>
                <w:szCs w:val="16"/>
              </w:rPr>
            </w:pPr>
          </w:p>
        </w:tc>
        <w:tc>
          <w:tcPr>
            <w:tcW w:w="1535"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Ketebalan (cm) </w:t>
            </w:r>
          </w:p>
        </w:tc>
        <w:tc>
          <w:tcPr>
            <w:tcW w:w="839"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&lt;100</w:t>
            </w:r>
          </w:p>
        </w:tc>
        <w:tc>
          <w:tcPr>
            <w:tcW w:w="788"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100-150</w:t>
            </w:r>
          </w:p>
        </w:tc>
        <w:tc>
          <w:tcPr>
            <w:tcW w:w="716"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&gt;150</w:t>
            </w:r>
          </w:p>
        </w:tc>
      </w:tr>
      <w:tr w:rsidR="00A352DB" w:rsidTr="00A352DB">
        <w:trPr>
          <w:cnfStyle w:val="000000010000" w:firstRow="0" w:lastRow="0" w:firstColumn="0" w:lastColumn="0" w:oddVBand="0" w:evenVBand="0" w:oddHBand="0" w:evenHBand="1" w:firstRowFirstColumn="0" w:firstRowLastColumn="0" w:lastRowFirstColumn="0" w:lastRowLastColumn="0"/>
          <w:trHeight w:val="220"/>
        </w:trPr>
        <w:tc>
          <w:tcPr>
            <w:tcW w:w="1122" w:type="pct"/>
            <w:vMerge w:val="restar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Tanaman </w:t>
            </w:r>
          </w:p>
          <w:p w:rsidR="00A352DB" w:rsidRDefault="00A352DB">
            <w:pPr>
              <w:spacing w:line="240" w:lineRule="auto"/>
              <w:rPr>
                <w:rFonts w:ascii="Tahoma" w:hAnsi="Tahoma" w:cs="Tahoma"/>
                <w:sz w:val="16"/>
                <w:szCs w:val="16"/>
              </w:rPr>
            </w:pPr>
            <w:r>
              <w:rPr>
                <w:rFonts w:ascii="Tahoma" w:hAnsi="Tahoma" w:cs="Tahoma"/>
                <w:sz w:val="16"/>
                <w:szCs w:val="16"/>
                <w:lang w:val="en-GB"/>
              </w:rPr>
              <w:t>Sayuran</w:t>
            </w:r>
          </w:p>
        </w:tc>
        <w:tc>
          <w:tcPr>
            <w:tcW w:w="1535"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Kematangan</w:t>
            </w:r>
          </w:p>
        </w:tc>
        <w:tc>
          <w:tcPr>
            <w:tcW w:w="839"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Saprik, hemik </w:t>
            </w:r>
          </w:p>
        </w:tc>
        <w:tc>
          <w:tcPr>
            <w:tcW w:w="788"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Hemik</w:t>
            </w:r>
          </w:p>
        </w:tc>
        <w:tc>
          <w:tcPr>
            <w:tcW w:w="716"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Fibrik </w:t>
            </w:r>
          </w:p>
        </w:tc>
      </w:tr>
      <w:tr w:rsidR="00A352DB" w:rsidTr="00A352DB">
        <w:trPr>
          <w:cnfStyle w:val="000000100000" w:firstRow="0" w:lastRow="0" w:firstColumn="0" w:lastColumn="0" w:oddVBand="0" w:evenVBand="0" w:oddHBand="1" w:evenHBand="0" w:firstRowFirstColumn="0" w:firstRowLastColumn="0" w:lastRowFirstColumn="0" w:lastRowLastColumn="0"/>
          <w:trHeight w:val="292"/>
        </w:trPr>
        <w:tc>
          <w:tcPr>
            <w:tcW w:w="0" w:type="auto"/>
            <w:vMerge/>
            <w:vAlign w:val="center"/>
            <w:hideMark/>
          </w:tcPr>
          <w:p w:rsidR="00A352DB" w:rsidRDefault="00A352DB">
            <w:pPr>
              <w:spacing w:line="240" w:lineRule="auto"/>
              <w:jc w:val="left"/>
              <w:rPr>
                <w:rFonts w:ascii="Tahoma" w:hAnsi="Tahoma" w:cs="Tahoma"/>
                <w:sz w:val="16"/>
                <w:szCs w:val="16"/>
              </w:rPr>
            </w:pPr>
          </w:p>
        </w:tc>
        <w:tc>
          <w:tcPr>
            <w:tcW w:w="1535"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Ketebalan (cm) </w:t>
            </w:r>
          </w:p>
        </w:tc>
        <w:tc>
          <w:tcPr>
            <w:tcW w:w="839"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&lt;100</w:t>
            </w:r>
          </w:p>
        </w:tc>
        <w:tc>
          <w:tcPr>
            <w:tcW w:w="788"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100-200</w:t>
            </w:r>
          </w:p>
        </w:tc>
        <w:tc>
          <w:tcPr>
            <w:tcW w:w="716"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&gt;200</w:t>
            </w:r>
          </w:p>
        </w:tc>
      </w:tr>
      <w:tr w:rsidR="00A352DB" w:rsidTr="00A352DB">
        <w:trPr>
          <w:cnfStyle w:val="000000010000" w:firstRow="0" w:lastRow="0" w:firstColumn="0" w:lastColumn="0" w:oddVBand="0" w:evenVBand="0" w:oddHBand="0" w:evenHBand="1" w:firstRowFirstColumn="0" w:firstRowLastColumn="0" w:lastRowFirstColumn="0" w:lastRowLastColumn="0"/>
          <w:trHeight w:val="220"/>
        </w:trPr>
        <w:tc>
          <w:tcPr>
            <w:tcW w:w="1122" w:type="pct"/>
            <w:vMerge w:val="restar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Tanaman </w:t>
            </w:r>
          </w:p>
          <w:p w:rsidR="00A352DB" w:rsidRDefault="00A352DB">
            <w:pPr>
              <w:spacing w:line="240" w:lineRule="auto"/>
              <w:rPr>
                <w:rFonts w:ascii="Tahoma" w:hAnsi="Tahoma" w:cs="Tahoma"/>
                <w:sz w:val="16"/>
                <w:szCs w:val="16"/>
              </w:rPr>
            </w:pPr>
            <w:r>
              <w:rPr>
                <w:rFonts w:ascii="Tahoma" w:hAnsi="Tahoma" w:cs="Tahoma"/>
                <w:sz w:val="16"/>
                <w:szCs w:val="16"/>
                <w:lang w:val="en-GB"/>
              </w:rPr>
              <w:t xml:space="preserve">Tahunan </w:t>
            </w:r>
          </w:p>
        </w:tc>
        <w:tc>
          <w:tcPr>
            <w:tcW w:w="1535"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Kematangan</w:t>
            </w:r>
          </w:p>
        </w:tc>
        <w:tc>
          <w:tcPr>
            <w:tcW w:w="839"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Saprik, hemik </w:t>
            </w:r>
          </w:p>
        </w:tc>
        <w:tc>
          <w:tcPr>
            <w:tcW w:w="788"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Hemik</w:t>
            </w:r>
          </w:p>
        </w:tc>
        <w:tc>
          <w:tcPr>
            <w:tcW w:w="716"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Fibrik </w:t>
            </w:r>
          </w:p>
        </w:tc>
      </w:tr>
      <w:tr w:rsidR="00A352DB" w:rsidTr="00A352DB">
        <w:trPr>
          <w:cnfStyle w:val="000000100000" w:firstRow="0" w:lastRow="0" w:firstColumn="0" w:lastColumn="0" w:oddVBand="0" w:evenVBand="0" w:oddHBand="1" w:evenHBand="0" w:firstRowFirstColumn="0" w:firstRowLastColumn="0" w:lastRowFirstColumn="0" w:lastRowLastColumn="0"/>
          <w:trHeight w:val="292"/>
        </w:trPr>
        <w:tc>
          <w:tcPr>
            <w:tcW w:w="0" w:type="auto"/>
            <w:vMerge/>
            <w:vAlign w:val="center"/>
            <w:hideMark/>
          </w:tcPr>
          <w:p w:rsidR="00A352DB" w:rsidRDefault="00A352DB">
            <w:pPr>
              <w:spacing w:line="240" w:lineRule="auto"/>
              <w:jc w:val="left"/>
              <w:rPr>
                <w:rFonts w:ascii="Tahoma" w:hAnsi="Tahoma" w:cs="Tahoma"/>
                <w:sz w:val="16"/>
                <w:szCs w:val="16"/>
              </w:rPr>
            </w:pPr>
          </w:p>
        </w:tc>
        <w:tc>
          <w:tcPr>
            <w:tcW w:w="1535"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 xml:space="preserve">Ketebalan (cm) </w:t>
            </w:r>
          </w:p>
        </w:tc>
        <w:tc>
          <w:tcPr>
            <w:tcW w:w="839"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&lt;200</w:t>
            </w:r>
          </w:p>
        </w:tc>
        <w:tc>
          <w:tcPr>
            <w:tcW w:w="788"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200-300</w:t>
            </w:r>
          </w:p>
        </w:tc>
        <w:tc>
          <w:tcPr>
            <w:tcW w:w="716" w:type="pct"/>
            <w:hideMark/>
          </w:tcPr>
          <w:p w:rsidR="00A352DB" w:rsidRDefault="00A352DB">
            <w:pPr>
              <w:spacing w:line="240" w:lineRule="auto"/>
              <w:rPr>
                <w:rFonts w:ascii="Tahoma" w:hAnsi="Tahoma" w:cs="Tahoma"/>
                <w:sz w:val="16"/>
                <w:szCs w:val="16"/>
              </w:rPr>
            </w:pPr>
            <w:r>
              <w:rPr>
                <w:rFonts w:ascii="Tahoma" w:hAnsi="Tahoma" w:cs="Tahoma"/>
                <w:sz w:val="16"/>
                <w:szCs w:val="16"/>
                <w:lang w:val="en-GB"/>
              </w:rPr>
              <w:t>&gt;300</w:t>
            </w:r>
          </w:p>
        </w:tc>
      </w:tr>
    </w:tbl>
    <w:p w:rsidR="00A352DB" w:rsidRDefault="00A352DB" w:rsidP="00A352DB">
      <w:pPr>
        <w:spacing w:line="240" w:lineRule="auto"/>
        <w:rPr>
          <w:rFonts w:ascii="Tahoma" w:hAnsi="Tahoma" w:cs="Tahoma"/>
          <w:sz w:val="18"/>
          <w:szCs w:val="18"/>
          <w:lang w:val="it-IT"/>
        </w:rPr>
      </w:pPr>
      <w:r>
        <w:rPr>
          <w:rFonts w:ascii="Tahoma" w:hAnsi="Tahoma" w:cs="Tahoma"/>
          <w:sz w:val="18"/>
          <w:szCs w:val="18"/>
          <w:lang w:val="it-IT"/>
        </w:rPr>
        <w:t>Sumber: Wahyunto, 2013</w:t>
      </w:r>
    </w:p>
    <w:p w:rsidR="00A352DB" w:rsidRDefault="00A352DB" w:rsidP="00A352DB">
      <w:pPr>
        <w:spacing w:line="240" w:lineRule="auto"/>
        <w:ind w:firstLine="720"/>
        <w:rPr>
          <w:rFonts w:ascii="Tahoma" w:hAnsi="Tahoma" w:cs="Tahoma"/>
          <w:sz w:val="20"/>
          <w:szCs w:val="20"/>
          <w:lang w:val="it-IT"/>
        </w:rPr>
      </w:pPr>
    </w:p>
    <w:p w:rsidR="00A352DB" w:rsidRDefault="00A352DB" w:rsidP="00A352DB">
      <w:pPr>
        <w:spacing w:line="240" w:lineRule="auto"/>
        <w:jc w:val="left"/>
        <w:rPr>
          <w:rFonts w:ascii="Tahoma" w:hAnsi="Tahoma" w:cs="Tahoma"/>
          <w:sz w:val="20"/>
          <w:szCs w:val="20"/>
          <w:lang w:val="it-IT"/>
        </w:rPr>
        <w:sectPr w:rsidR="00A352DB">
          <w:type w:val="continuous"/>
          <w:pgSz w:w="11907" w:h="16840"/>
          <w:pgMar w:top="1134" w:right="1134" w:bottom="1134" w:left="1843" w:header="720" w:footer="420" w:gutter="0"/>
          <w:cols w:space="720"/>
        </w:sectPr>
      </w:pPr>
    </w:p>
    <w:p w:rsidR="00A352DB" w:rsidRDefault="00A352DB" w:rsidP="00A352DB">
      <w:pPr>
        <w:spacing w:line="312" w:lineRule="auto"/>
        <w:ind w:firstLine="720"/>
        <w:rPr>
          <w:rFonts w:ascii="Tahoma" w:hAnsi="Tahoma" w:cs="Tahoma"/>
          <w:sz w:val="20"/>
          <w:szCs w:val="20"/>
          <w:lang w:val="it-IT"/>
        </w:rPr>
      </w:pPr>
      <w:r>
        <w:rPr>
          <w:rFonts w:ascii="Tahoma" w:hAnsi="Tahoma" w:cs="Tahoma"/>
          <w:sz w:val="20"/>
          <w:szCs w:val="20"/>
          <w:lang w:val="it-IT"/>
        </w:rPr>
        <w:lastRenderedPageBreak/>
        <w:t xml:space="preserve">Pengusahanan pangan di lahan gambut harus dilakukan dengan teknologi tepat guna </w:t>
      </w:r>
      <w:r>
        <w:rPr>
          <w:rFonts w:ascii="Tahoma" w:hAnsi="Tahoma" w:cs="Tahoma"/>
          <w:sz w:val="20"/>
          <w:szCs w:val="20"/>
          <w:lang w:val="it-IT"/>
        </w:rPr>
        <w:lastRenderedPageBreak/>
        <w:t xml:space="preserve">sehingga lingkungan tetap terjaga. Kunci keberhasilan pengusahaan pangan di lahan </w:t>
      </w:r>
      <w:r>
        <w:rPr>
          <w:rFonts w:ascii="Tahoma" w:hAnsi="Tahoma" w:cs="Tahoma"/>
          <w:sz w:val="20"/>
          <w:szCs w:val="20"/>
          <w:lang w:val="it-IT"/>
        </w:rPr>
        <w:lastRenderedPageBreak/>
        <w:t>gambut ditentukan oleh beberapa faktor yaitu : 1) karakteristik tanah gambut; 2) menyesuaikan dengan persyaratan tumbuh komoditas yang diusahakan; 3) penerapan inovasi tepat guna.</w:t>
      </w:r>
    </w:p>
    <w:p w:rsidR="00A352DB" w:rsidRDefault="00A352DB" w:rsidP="00A352DB">
      <w:pPr>
        <w:spacing w:line="312" w:lineRule="auto"/>
        <w:rPr>
          <w:rFonts w:ascii="Tahoma" w:hAnsi="Tahoma" w:cs="Tahoma"/>
          <w:sz w:val="20"/>
          <w:szCs w:val="20"/>
          <w:lang w:val="it-IT"/>
        </w:rPr>
      </w:pPr>
    </w:p>
    <w:p w:rsidR="00A352DB" w:rsidRDefault="00A352DB" w:rsidP="00A352DB">
      <w:pPr>
        <w:spacing w:after="120" w:line="312" w:lineRule="auto"/>
        <w:rPr>
          <w:rFonts w:ascii="Tahoma" w:hAnsi="Tahoma" w:cs="Tahoma"/>
          <w:sz w:val="20"/>
          <w:szCs w:val="20"/>
          <w:lang w:val="it-IT"/>
        </w:rPr>
      </w:pPr>
      <w:r>
        <w:rPr>
          <w:rFonts w:ascii="Tahoma" w:hAnsi="Tahoma" w:cs="Tahoma"/>
          <w:sz w:val="20"/>
          <w:szCs w:val="20"/>
          <w:lang w:val="it-IT"/>
        </w:rPr>
        <w:t>Inovasi teknologi yang dapat diterapkan pada lahan gambut meliputi :</w:t>
      </w:r>
    </w:p>
    <w:p w:rsidR="00A352DB" w:rsidRDefault="00A352DB" w:rsidP="00A352DB">
      <w:pPr>
        <w:pStyle w:val="ListParagraph"/>
        <w:numPr>
          <w:ilvl w:val="0"/>
          <w:numId w:val="1"/>
        </w:numPr>
        <w:spacing w:after="120" w:line="312" w:lineRule="auto"/>
        <w:ind w:left="363" w:hanging="357"/>
        <w:rPr>
          <w:rFonts w:ascii="Tahoma" w:hAnsi="Tahoma" w:cs="Tahoma"/>
          <w:b/>
          <w:sz w:val="20"/>
          <w:szCs w:val="20"/>
          <w:lang w:val="it-IT"/>
        </w:rPr>
      </w:pPr>
      <w:r>
        <w:rPr>
          <w:rFonts w:ascii="Tahoma" w:hAnsi="Tahoma" w:cs="Tahoma"/>
          <w:b/>
          <w:sz w:val="20"/>
          <w:szCs w:val="20"/>
          <w:lang w:val="it-IT"/>
        </w:rPr>
        <w:t>Teknologi tata air</w:t>
      </w:r>
    </w:p>
    <w:p w:rsidR="00A352DB" w:rsidRDefault="00A352DB" w:rsidP="00A352DB">
      <w:pPr>
        <w:pStyle w:val="ListParagraph"/>
        <w:spacing w:line="312" w:lineRule="auto"/>
        <w:ind w:left="364"/>
        <w:rPr>
          <w:rFonts w:ascii="Tahoma" w:hAnsi="Tahoma" w:cs="Tahoma"/>
          <w:sz w:val="20"/>
          <w:szCs w:val="20"/>
          <w:lang w:val="it-IT"/>
        </w:rPr>
      </w:pPr>
      <w:r>
        <w:rPr>
          <w:rFonts w:ascii="Tahoma" w:hAnsi="Tahoma" w:cs="Tahoma"/>
          <w:sz w:val="20"/>
          <w:szCs w:val="20"/>
          <w:lang w:val="it-IT"/>
        </w:rPr>
        <w:t xml:space="preserve">Air merupakan salah satu bahan utama yang berperan untuk menghantarkan bahan makanan yang diperlukan tanaman untuk berfoto sintesis, sehingga pengaturan tinggi muka air di lahan gambut sangat penting dilakukan untuk menciptakan kondisi aerob </w:t>
      </w:r>
      <w:r>
        <w:rPr>
          <w:rFonts w:ascii="Tahoma" w:hAnsi="Tahoma" w:cs="Tahoma"/>
          <w:sz w:val="20"/>
          <w:szCs w:val="20"/>
          <w:lang w:val="it-IT"/>
        </w:rPr>
        <w:lastRenderedPageBreak/>
        <w:t xml:space="preserve">di zona perakaran tanaman dan mengurangi konsentrasi asam-asam organik yang bersifat meracun bagi tanaman. Selain itu pengaturan tinggi muka air juga dimaksudkan agar perakaran tanaman mendapatkan oksigen dalam jumlah yang cukup untuk proses respirasinya, serta menciptakan kondisi tanah gambut tetap dalam kondisi lembab. Hasil penelitian menunjukkan bahwa pengaturan muka air 40 cm merupakan kedalaman yang efektif untuk menjaga kelestarian gambut. Pengaturan tata air pada lahan gambut dapat dilakukan menggunakan sekat kanal </w:t>
      </w:r>
    </w:p>
    <w:p w:rsidR="00A352DB" w:rsidRDefault="00A352DB" w:rsidP="00A352DB">
      <w:pPr>
        <w:spacing w:line="240" w:lineRule="auto"/>
        <w:jc w:val="left"/>
        <w:rPr>
          <w:rFonts w:ascii="Tahoma" w:hAnsi="Tahoma" w:cs="Tahoma"/>
          <w:noProof/>
          <w:sz w:val="20"/>
          <w:szCs w:val="20"/>
        </w:rPr>
        <w:sectPr w:rsidR="00A352DB">
          <w:type w:val="continuous"/>
          <w:pgSz w:w="11907" w:h="16840"/>
          <w:pgMar w:top="1134" w:right="1134" w:bottom="1134" w:left="1843" w:header="720" w:footer="420" w:gutter="0"/>
          <w:cols w:num="2" w:space="283"/>
        </w:sectPr>
      </w:pPr>
    </w:p>
    <w:p w:rsidR="00A352DB" w:rsidRDefault="00A352DB" w:rsidP="00A352DB">
      <w:pPr>
        <w:pStyle w:val="ListParagraph"/>
        <w:spacing w:line="240" w:lineRule="auto"/>
        <w:ind w:left="364"/>
        <w:jc w:val="center"/>
        <w:rPr>
          <w:rFonts w:ascii="Tahoma" w:hAnsi="Tahoma" w:cs="Tahoma"/>
          <w:noProof/>
          <w:sz w:val="20"/>
          <w:szCs w:val="20"/>
        </w:rPr>
      </w:pPr>
      <w:r>
        <w:rPr>
          <w:rFonts w:ascii="Tahoma" w:hAnsi="Tahoma" w:cs="Tahoma"/>
          <w:noProof/>
          <w:sz w:val="20"/>
          <w:szCs w:val="20"/>
          <w:lang w:val="id-ID" w:eastAsia="id-ID"/>
        </w:rPr>
        <w:lastRenderedPageBreak/>
        <w:drawing>
          <wp:inline distT="0" distB="0" distL="0" distR="0">
            <wp:extent cx="1710055" cy="1258570"/>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10055" cy="1258570"/>
                    </a:xfrm>
                    <a:prstGeom prst="rect">
                      <a:avLst/>
                    </a:prstGeom>
                    <a:noFill/>
                    <a:ln>
                      <a:noFill/>
                    </a:ln>
                  </pic:spPr>
                </pic:pic>
              </a:graphicData>
            </a:graphic>
          </wp:inline>
        </w:drawing>
      </w:r>
      <w:r>
        <w:rPr>
          <w:rFonts w:ascii="Tahoma" w:hAnsi="Tahoma" w:cs="Tahoma"/>
          <w:noProof/>
          <w:sz w:val="20"/>
          <w:szCs w:val="20"/>
          <w:lang w:val="id-ID" w:eastAsia="id-ID"/>
        </w:rPr>
        <w:drawing>
          <wp:inline distT="0" distB="0" distL="0" distR="0">
            <wp:extent cx="1757680" cy="1211580"/>
            <wp:effectExtent l="0" t="0" r="0" b="7620"/>
            <wp:docPr id="2" name="Picture 2" descr="Hasil gambar untuk sekat kanal lahan gamb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il gambar untuk sekat kanal lahan gambu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57680" cy="1211580"/>
                    </a:xfrm>
                    <a:prstGeom prst="rect">
                      <a:avLst/>
                    </a:prstGeom>
                    <a:noFill/>
                    <a:ln>
                      <a:noFill/>
                    </a:ln>
                  </pic:spPr>
                </pic:pic>
              </a:graphicData>
            </a:graphic>
          </wp:inline>
        </w:drawing>
      </w:r>
      <w:r>
        <w:rPr>
          <w:rFonts w:ascii="Tahoma" w:hAnsi="Tahoma" w:cs="Tahoma"/>
          <w:noProof/>
          <w:sz w:val="20"/>
          <w:szCs w:val="20"/>
          <w:lang w:val="id-ID" w:eastAsia="id-ID"/>
        </w:rPr>
        <w:drawing>
          <wp:inline distT="0" distB="0" distL="0" distR="0">
            <wp:extent cx="1781175" cy="1223010"/>
            <wp:effectExtent l="0" t="0" r="9525" b="0"/>
            <wp:docPr id="1" name="Picture 1" descr="Hasil gambar untuk sekat kanal lahan gamb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il gambar untuk sekat kanal lahan gambu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81175" cy="1223010"/>
                    </a:xfrm>
                    <a:prstGeom prst="rect">
                      <a:avLst/>
                    </a:prstGeom>
                    <a:noFill/>
                    <a:ln>
                      <a:noFill/>
                    </a:ln>
                  </pic:spPr>
                </pic:pic>
              </a:graphicData>
            </a:graphic>
          </wp:inline>
        </w:drawing>
      </w:r>
    </w:p>
    <w:p w:rsidR="00A352DB" w:rsidRDefault="00A352DB" w:rsidP="00A352DB">
      <w:pPr>
        <w:pStyle w:val="ListParagraph"/>
        <w:spacing w:line="240" w:lineRule="auto"/>
        <w:ind w:left="364"/>
        <w:jc w:val="center"/>
        <w:rPr>
          <w:rFonts w:ascii="Tahoma" w:hAnsi="Tahoma" w:cs="Tahoma"/>
          <w:noProof/>
          <w:sz w:val="20"/>
          <w:szCs w:val="20"/>
        </w:rPr>
      </w:pPr>
      <w:r>
        <w:rPr>
          <w:rFonts w:ascii="Tahoma" w:hAnsi="Tahoma" w:cs="Tahoma"/>
          <w:noProof/>
          <w:sz w:val="20"/>
          <w:szCs w:val="20"/>
        </w:rPr>
        <w:t>Gambar 1. pengaturan tata air pada lahan gambut</w:t>
      </w:r>
    </w:p>
    <w:p w:rsidR="00A352DB" w:rsidRDefault="00A352DB" w:rsidP="00A352DB">
      <w:pPr>
        <w:pStyle w:val="ListParagraph"/>
        <w:spacing w:line="240" w:lineRule="auto"/>
        <w:ind w:left="364"/>
        <w:jc w:val="center"/>
        <w:rPr>
          <w:rFonts w:ascii="Tahoma" w:hAnsi="Tahoma" w:cs="Tahoma"/>
          <w:b/>
          <w:sz w:val="20"/>
          <w:szCs w:val="20"/>
          <w:lang w:val="it-IT"/>
        </w:rPr>
      </w:pPr>
    </w:p>
    <w:p w:rsidR="00A352DB" w:rsidRDefault="00A352DB" w:rsidP="00A352DB">
      <w:pPr>
        <w:spacing w:line="240" w:lineRule="auto"/>
        <w:jc w:val="left"/>
        <w:rPr>
          <w:rFonts w:ascii="Tahoma" w:hAnsi="Tahoma" w:cs="Tahoma"/>
          <w:b/>
          <w:sz w:val="20"/>
          <w:szCs w:val="20"/>
          <w:lang w:val="it-IT"/>
        </w:rPr>
        <w:sectPr w:rsidR="00A352DB">
          <w:type w:val="continuous"/>
          <w:pgSz w:w="11907" w:h="16840"/>
          <w:pgMar w:top="1134" w:right="1134" w:bottom="1134" w:left="1843" w:header="720" w:footer="420" w:gutter="0"/>
          <w:cols w:space="720"/>
        </w:sectPr>
      </w:pPr>
    </w:p>
    <w:p w:rsidR="00A352DB" w:rsidRDefault="00A352DB" w:rsidP="00A352DB">
      <w:pPr>
        <w:pStyle w:val="ListParagraph"/>
        <w:numPr>
          <w:ilvl w:val="0"/>
          <w:numId w:val="1"/>
        </w:numPr>
        <w:spacing w:after="120" w:line="240" w:lineRule="auto"/>
        <w:ind w:left="363" w:hanging="357"/>
        <w:jc w:val="left"/>
        <w:rPr>
          <w:rFonts w:ascii="Tahoma" w:hAnsi="Tahoma" w:cs="Tahoma"/>
          <w:sz w:val="20"/>
          <w:szCs w:val="20"/>
          <w:lang w:val="it-IT"/>
        </w:rPr>
      </w:pPr>
      <w:r>
        <w:rPr>
          <w:rFonts w:ascii="Tahoma" w:hAnsi="Tahoma" w:cs="Tahoma"/>
          <w:b/>
          <w:sz w:val="20"/>
          <w:szCs w:val="20"/>
          <w:lang w:val="it-IT"/>
        </w:rPr>
        <w:lastRenderedPageBreak/>
        <w:t>Komoditi sesuai</w:t>
      </w:r>
    </w:p>
    <w:p w:rsidR="00A352DB" w:rsidRDefault="00A352DB" w:rsidP="00A352DB">
      <w:pPr>
        <w:spacing w:line="312" w:lineRule="auto"/>
        <w:ind w:firstLine="720"/>
        <w:rPr>
          <w:rFonts w:ascii="Tahoma" w:hAnsi="Tahoma" w:cs="Tahoma"/>
          <w:sz w:val="20"/>
          <w:szCs w:val="20"/>
          <w:lang w:val="it-IT"/>
        </w:rPr>
      </w:pPr>
      <w:r>
        <w:rPr>
          <w:rFonts w:ascii="Tahoma" w:hAnsi="Tahoma" w:cs="Tahoma"/>
          <w:sz w:val="20"/>
          <w:szCs w:val="20"/>
          <w:lang w:val="it-IT"/>
        </w:rPr>
        <w:t xml:space="preserve">Pemilihan komoditas yang diusahakan di lahan gambut tentunya haruslah memiliki nilai ekonomi yang tinggi namun memiliki kemampuan untuk beradaptasi dan berkembang di lahan gambut. Jenis komoditas pertanian </w:t>
      </w:r>
      <w:r>
        <w:rPr>
          <w:rFonts w:ascii="Tahoma" w:hAnsi="Tahoma" w:cs="Tahoma"/>
          <w:sz w:val="20"/>
          <w:szCs w:val="20"/>
          <w:lang w:val="it-IT"/>
        </w:rPr>
        <w:lastRenderedPageBreak/>
        <w:t>yang dapat dikembangkan di lahan gambut meliputi tanaman pangan, hortikultura dan tanaman perkebunan serta tanaman kayu-kayuan untuk tujuan konservasi gambut.</w:t>
      </w:r>
    </w:p>
    <w:p w:rsidR="00A352DB" w:rsidRDefault="00A352DB" w:rsidP="00A352DB">
      <w:pPr>
        <w:spacing w:line="312" w:lineRule="auto"/>
        <w:ind w:firstLine="720"/>
        <w:rPr>
          <w:rFonts w:ascii="Tahoma" w:hAnsi="Tahoma" w:cs="Tahoma"/>
          <w:sz w:val="20"/>
          <w:szCs w:val="20"/>
          <w:lang w:val="it-IT"/>
        </w:rPr>
      </w:pPr>
    </w:p>
    <w:p w:rsidR="00A352DB" w:rsidRDefault="00A352DB" w:rsidP="00A352DB">
      <w:pPr>
        <w:spacing w:line="240" w:lineRule="auto"/>
        <w:jc w:val="left"/>
        <w:rPr>
          <w:rFonts w:ascii="Tahoma" w:hAnsi="Tahoma" w:cs="Tahoma"/>
          <w:sz w:val="20"/>
          <w:szCs w:val="20"/>
        </w:rPr>
        <w:sectPr w:rsidR="00A352DB">
          <w:type w:val="continuous"/>
          <w:pgSz w:w="11907" w:h="16840"/>
          <w:pgMar w:top="1134" w:right="1134" w:bottom="1134" w:left="1843" w:header="720" w:footer="420" w:gutter="0"/>
          <w:cols w:num="2" w:space="283"/>
        </w:sectPr>
      </w:pPr>
    </w:p>
    <w:p w:rsidR="00A352DB" w:rsidRDefault="00A352DB" w:rsidP="00A352DB">
      <w:pPr>
        <w:spacing w:line="240" w:lineRule="auto"/>
        <w:ind w:left="709" w:hanging="707"/>
        <w:rPr>
          <w:rFonts w:ascii="Tahoma" w:hAnsi="Tahoma" w:cs="Tahoma"/>
          <w:sz w:val="16"/>
          <w:szCs w:val="16"/>
        </w:rPr>
      </w:pPr>
    </w:p>
    <w:p w:rsidR="00A352DB" w:rsidRDefault="00A352DB" w:rsidP="00A352DB">
      <w:pPr>
        <w:spacing w:after="120" w:line="240" w:lineRule="auto"/>
        <w:ind w:left="709" w:hanging="709"/>
        <w:rPr>
          <w:rFonts w:ascii="Tahoma" w:hAnsi="Tahoma" w:cs="Tahoma"/>
          <w:sz w:val="20"/>
          <w:szCs w:val="20"/>
        </w:rPr>
      </w:pPr>
      <w:proofErr w:type="gramStart"/>
      <w:r>
        <w:rPr>
          <w:rFonts w:ascii="Tahoma" w:hAnsi="Tahoma" w:cs="Tahoma"/>
          <w:sz w:val="20"/>
          <w:szCs w:val="20"/>
        </w:rPr>
        <w:t>Tabel 3.</w:t>
      </w:r>
      <w:proofErr w:type="gramEnd"/>
      <w:r>
        <w:rPr>
          <w:rFonts w:ascii="Tahoma" w:hAnsi="Tahoma" w:cs="Tahoma"/>
          <w:sz w:val="20"/>
          <w:szCs w:val="20"/>
        </w:rPr>
        <w:t xml:space="preserve"> Jenis tanaman yang dapat diusahakan di lahan gambut</w:t>
      </w:r>
    </w:p>
    <w:tbl>
      <w:tblPr>
        <w:tblW w:w="4850"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68"/>
        <w:gridCol w:w="1691"/>
        <w:gridCol w:w="1689"/>
        <w:gridCol w:w="1278"/>
        <w:gridCol w:w="1402"/>
        <w:gridCol w:w="1544"/>
      </w:tblGrid>
      <w:tr w:rsidR="00A352DB" w:rsidTr="00A352DB">
        <w:tc>
          <w:tcPr>
            <w:tcW w:w="715"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jc w:val="center"/>
              <w:rPr>
                <w:rFonts w:ascii="Tahoma" w:hAnsi="Tahoma" w:cs="Tahoma"/>
                <w:sz w:val="18"/>
                <w:szCs w:val="18"/>
              </w:rPr>
            </w:pPr>
            <w:r>
              <w:rPr>
                <w:rFonts w:ascii="Tahoma" w:hAnsi="Tahoma" w:cs="Tahoma"/>
                <w:sz w:val="18"/>
                <w:szCs w:val="18"/>
              </w:rPr>
              <w:t>Kelompok tanaman</w:t>
            </w:r>
          </w:p>
        </w:tc>
        <w:tc>
          <w:tcPr>
            <w:tcW w:w="953"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jc w:val="center"/>
              <w:rPr>
                <w:rFonts w:ascii="Tahoma" w:hAnsi="Tahoma" w:cs="Tahoma"/>
                <w:sz w:val="18"/>
                <w:szCs w:val="18"/>
              </w:rPr>
            </w:pPr>
            <w:r>
              <w:rPr>
                <w:rFonts w:ascii="Tahoma" w:hAnsi="Tahoma" w:cs="Tahoma"/>
                <w:sz w:val="18"/>
                <w:szCs w:val="18"/>
              </w:rPr>
              <w:t>Paling umum</w:t>
            </w:r>
          </w:p>
        </w:tc>
        <w:tc>
          <w:tcPr>
            <w:tcW w:w="3332" w:type="pct"/>
            <w:gridSpan w:val="4"/>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jc w:val="center"/>
              <w:rPr>
                <w:rFonts w:ascii="Tahoma" w:hAnsi="Tahoma" w:cs="Tahoma"/>
                <w:sz w:val="18"/>
                <w:szCs w:val="18"/>
              </w:rPr>
            </w:pPr>
            <w:r>
              <w:rPr>
                <w:rFonts w:ascii="Tahoma" w:hAnsi="Tahoma" w:cs="Tahoma"/>
                <w:sz w:val="18"/>
                <w:szCs w:val="18"/>
              </w:rPr>
              <w:t>Lainnya</w:t>
            </w:r>
          </w:p>
        </w:tc>
      </w:tr>
      <w:tr w:rsidR="00A352DB" w:rsidTr="00A352DB">
        <w:tc>
          <w:tcPr>
            <w:tcW w:w="715"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Pangan</w:t>
            </w:r>
          </w:p>
        </w:tc>
        <w:tc>
          <w:tcPr>
            <w:tcW w:w="953"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padi, jagung, ubi kayu, ubi jalar</w:t>
            </w:r>
          </w:p>
        </w:tc>
        <w:tc>
          <w:tcPr>
            <w:tcW w:w="952"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talas, uwi, ganyong, soegum</w:t>
            </w:r>
          </w:p>
        </w:tc>
        <w:tc>
          <w:tcPr>
            <w:tcW w:w="720"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gembili, bentul</w:t>
            </w:r>
          </w:p>
        </w:tc>
        <w:tc>
          <w:tcPr>
            <w:tcW w:w="790" w:type="pct"/>
            <w:tcBorders>
              <w:top w:val="single" w:sz="4" w:space="0" w:color="000000"/>
              <w:left w:val="single" w:sz="4" w:space="0" w:color="000000"/>
              <w:bottom w:val="single" w:sz="4" w:space="0" w:color="000000"/>
              <w:right w:val="single" w:sz="4" w:space="0" w:color="000000"/>
            </w:tcBorders>
          </w:tcPr>
          <w:p w:rsidR="00A352DB" w:rsidRDefault="00A352DB">
            <w:pPr>
              <w:spacing w:line="240" w:lineRule="auto"/>
              <w:rPr>
                <w:rFonts w:ascii="Tahoma" w:hAnsi="Tahoma" w:cs="Tahoma"/>
                <w:sz w:val="18"/>
                <w:szCs w:val="18"/>
              </w:rPr>
            </w:pPr>
          </w:p>
        </w:tc>
        <w:tc>
          <w:tcPr>
            <w:tcW w:w="871" w:type="pct"/>
            <w:tcBorders>
              <w:top w:val="single" w:sz="4" w:space="0" w:color="000000"/>
              <w:left w:val="single" w:sz="4" w:space="0" w:color="000000"/>
              <w:bottom w:val="single" w:sz="4" w:space="0" w:color="000000"/>
              <w:right w:val="single" w:sz="4" w:space="0" w:color="000000"/>
            </w:tcBorders>
          </w:tcPr>
          <w:p w:rsidR="00A352DB" w:rsidRDefault="00A352DB">
            <w:pPr>
              <w:spacing w:line="240" w:lineRule="auto"/>
              <w:rPr>
                <w:rFonts w:ascii="Tahoma" w:hAnsi="Tahoma" w:cs="Tahoma"/>
                <w:sz w:val="18"/>
                <w:szCs w:val="18"/>
              </w:rPr>
            </w:pPr>
          </w:p>
        </w:tc>
      </w:tr>
      <w:tr w:rsidR="00A352DB" w:rsidTr="00A352DB">
        <w:tc>
          <w:tcPr>
            <w:tcW w:w="715"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Palawija</w:t>
            </w:r>
          </w:p>
        </w:tc>
        <w:tc>
          <w:tcPr>
            <w:tcW w:w="953"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kedelai, kacang tanah, kacang hijau, kacang tunggak</w:t>
            </w:r>
          </w:p>
        </w:tc>
        <w:tc>
          <w:tcPr>
            <w:tcW w:w="952"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kacang jogo, kacang benguk, kacang bogor, gude, kacang arab</w:t>
            </w:r>
          </w:p>
        </w:tc>
        <w:tc>
          <w:tcPr>
            <w:tcW w:w="720"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kacang kapri,kratok, koro, bunga matahari</w:t>
            </w:r>
          </w:p>
        </w:tc>
        <w:tc>
          <w:tcPr>
            <w:tcW w:w="790" w:type="pct"/>
            <w:tcBorders>
              <w:top w:val="single" w:sz="4" w:space="0" w:color="000000"/>
              <w:left w:val="single" w:sz="4" w:space="0" w:color="000000"/>
              <w:bottom w:val="single" w:sz="4" w:space="0" w:color="000000"/>
              <w:right w:val="single" w:sz="4" w:space="0" w:color="000000"/>
            </w:tcBorders>
          </w:tcPr>
          <w:p w:rsidR="00A352DB" w:rsidRDefault="00A352DB">
            <w:pPr>
              <w:spacing w:line="240" w:lineRule="auto"/>
              <w:rPr>
                <w:rFonts w:ascii="Tahoma" w:hAnsi="Tahoma" w:cs="Tahoma"/>
                <w:sz w:val="18"/>
                <w:szCs w:val="18"/>
              </w:rPr>
            </w:pPr>
          </w:p>
        </w:tc>
        <w:tc>
          <w:tcPr>
            <w:tcW w:w="871" w:type="pct"/>
            <w:tcBorders>
              <w:top w:val="single" w:sz="4" w:space="0" w:color="000000"/>
              <w:left w:val="single" w:sz="4" w:space="0" w:color="000000"/>
              <w:bottom w:val="single" w:sz="4" w:space="0" w:color="000000"/>
              <w:right w:val="single" w:sz="4" w:space="0" w:color="000000"/>
            </w:tcBorders>
          </w:tcPr>
          <w:p w:rsidR="00A352DB" w:rsidRDefault="00A352DB">
            <w:pPr>
              <w:spacing w:line="240" w:lineRule="auto"/>
              <w:rPr>
                <w:rFonts w:ascii="Tahoma" w:hAnsi="Tahoma" w:cs="Tahoma"/>
                <w:sz w:val="18"/>
                <w:szCs w:val="18"/>
              </w:rPr>
            </w:pPr>
          </w:p>
        </w:tc>
      </w:tr>
      <w:tr w:rsidR="00A352DB" w:rsidTr="00A352DB">
        <w:tc>
          <w:tcPr>
            <w:tcW w:w="715"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Hortikultura</w:t>
            </w:r>
          </w:p>
        </w:tc>
        <w:tc>
          <w:tcPr>
            <w:tcW w:w="953"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ind w:firstLine="30"/>
              <w:rPr>
                <w:rFonts w:ascii="Tahoma" w:hAnsi="Tahoma" w:cs="Tahoma"/>
                <w:sz w:val="18"/>
                <w:szCs w:val="18"/>
              </w:rPr>
            </w:pPr>
            <w:r>
              <w:rPr>
                <w:rFonts w:ascii="Tahoma" w:hAnsi="Tahoma" w:cs="Tahoma"/>
                <w:sz w:val="18"/>
                <w:szCs w:val="18"/>
              </w:rPr>
              <w:t>cabai, terong, tomat, ketimun, bawang merah, bawang daun</w:t>
            </w:r>
          </w:p>
        </w:tc>
        <w:tc>
          <w:tcPr>
            <w:tcW w:w="952"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semangka, buncis, kangkung, kubis, petsai, sawi hijau, sawi putih</w:t>
            </w:r>
          </w:p>
        </w:tc>
        <w:tc>
          <w:tcPr>
            <w:tcW w:w="720"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selada, seledri, bayam, okra, belustru, gambas, waluh</w:t>
            </w:r>
          </w:p>
        </w:tc>
        <w:tc>
          <w:tcPr>
            <w:tcW w:w="790"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labu siam, kemangi, katuk, kenikir, kucai, lobak, ranti</w:t>
            </w:r>
          </w:p>
        </w:tc>
        <w:tc>
          <w:tcPr>
            <w:tcW w:w="871"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asparagus, daun paku, bligo, bunga kol, pare pahit, blewah</w:t>
            </w:r>
          </w:p>
        </w:tc>
      </w:tr>
      <w:tr w:rsidR="00A352DB" w:rsidTr="00A352DB">
        <w:tc>
          <w:tcPr>
            <w:tcW w:w="715"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Buah</w:t>
            </w:r>
          </w:p>
        </w:tc>
        <w:tc>
          <w:tcPr>
            <w:tcW w:w="953"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pisang, nenas, nangka, rambutan, jeruk</w:t>
            </w:r>
          </w:p>
        </w:tc>
        <w:tc>
          <w:tcPr>
            <w:tcW w:w="952"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papaya, melinjo, jambu air, jambu biji, belimbing</w:t>
            </w:r>
          </w:p>
        </w:tc>
        <w:tc>
          <w:tcPr>
            <w:tcW w:w="720"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kedondong, zirzak, keluwih, manggis, sawo</w:t>
            </w:r>
          </w:p>
        </w:tc>
        <w:tc>
          <w:tcPr>
            <w:tcW w:w="790"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soursoup, bacang, kemang, kuweni, alpukat</w:t>
            </w:r>
          </w:p>
        </w:tc>
        <w:tc>
          <w:tcPr>
            <w:tcW w:w="871" w:type="pct"/>
            <w:tcBorders>
              <w:top w:val="single" w:sz="4" w:space="0" w:color="000000"/>
              <w:left w:val="single" w:sz="4" w:space="0" w:color="000000"/>
              <w:bottom w:val="single" w:sz="4" w:space="0" w:color="000000"/>
              <w:right w:val="single" w:sz="4" w:space="0" w:color="000000"/>
            </w:tcBorders>
            <w:hideMark/>
          </w:tcPr>
          <w:p w:rsidR="00A352DB" w:rsidRDefault="00A352DB">
            <w:pPr>
              <w:spacing w:line="240" w:lineRule="auto"/>
              <w:rPr>
                <w:rFonts w:ascii="Tahoma" w:hAnsi="Tahoma" w:cs="Tahoma"/>
                <w:sz w:val="18"/>
                <w:szCs w:val="18"/>
              </w:rPr>
            </w:pPr>
            <w:r>
              <w:rPr>
                <w:rFonts w:ascii="Tahoma" w:hAnsi="Tahoma" w:cs="Tahoma"/>
                <w:sz w:val="18"/>
                <w:szCs w:val="18"/>
              </w:rPr>
              <w:t>cempedak, delima, duku, gandaria, kepundung/ rambai</w:t>
            </w:r>
          </w:p>
        </w:tc>
      </w:tr>
    </w:tbl>
    <w:p w:rsidR="00A352DB" w:rsidRDefault="00A352DB" w:rsidP="00A352DB">
      <w:pPr>
        <w:pStyle w:val="ListParagraph"/>
        <w:spacing w:line="240" w:lineRule="auto"/>
        <w:ind w:left="0"/>
        <w:rPr>
          <w:rFonts w:ascii="Tahoma" w:hAnsi="Tahoma" w:cs="Tahoma"/>
          <w:sz w:val="18"/>
          <w:szCs w:val="18"/>
        </w:rPr>
      </w:pPr>
      <w:r>
        <w:rPr>
          <w:rFonts w:ascii="Tahoma" w:hAnsi="Tahoma" w:cs="Tahoma"/>
          <w:sz w:val="18"/>
          <w:szCs w:val="18"/>
          <w:lang w:val="it-IT" w:eastAsia="x-none"/>
        </w:rPr>
        <w:t xml:space="preserve">Sumber : </w:t>
      </w:r>
      <w:r>
        <w:rPr>
          <w:rFonts w:ascii="Tahoma" w:hAnsi="Tahoma" w:cs="Tahoma"/>
          <w:sz w:val="18"/>
          <w:szCs w:val="18"/>
        </w:rPr>
        <w:t>Wahyunto (2013)</w:t>
      </w:r>
    </w:p>
    <w:p w:rsidR="00A352DB" w:rsidRDefault="00A352DB" w:rsidP="00A352DB">
      <w:pPr>
        <w:spacing w:line="240" w:lineRule="auto"/>
        <w:ind w:left="709" w:hanging="707"/>
        <w:rPr>
          <w:rFonts w:ascii="Tahoma" w:hAnsi="Tahoma" w:cs="Tahoma"/>
          <w:sz w:val="18"/>
          <w:szCs w:val="18"/>
          <w:lang w:val="it-IT"/>
        </w:rPr>
      </w:pPr>
    </w:p>
    <w:p w:rsidR="00A352DB" w:rsidRDefault="00A352DB" w:rsidP="00A352DB">
      <w:pPr>
        <w:spacing w:line="240" w:lineRule="auto"/>
        <w:jc w:val="left"/>
        <w:rPr>
          <w:rFonts w:ascii="Tahoma" w:hAnsi="Tahoma" w:cs="Tahoma"/>
          <w:sz w:val="20"/>
          <w:szCs w:val="20"/>
          <w:lang w:val="it-IT"/>
        </w:rPr>
        <w:sectPr w:rsidR="00A352DB">
          <w:type w:val="continuous"/>
          <w:pgSz w:w="11907" w:h="16840"/>
          <w:pgMar w:top="1134" w:right="1134" w:bottom="1134" w:left="1843" w:header="720" w:footer="420" w:gutter="0"/>
          <w:cols w:space="720"/>
        </w:sectPr>
      </w:pPr>
    </w:p>
    <w:p w:rsidR="00A352DB" w:rsidRDefault="00A352DB" w:rsidP="00A352DB">
      <w:pPr>
        <w:pStyle w:val="ListParagraph"/>
        <w:spacing w:line="312" w:lineRule="auto"/>
        <w:ind w:left="0" w:firstLine="720"/>
        <w:rPr>
          <w:rFonts w:ascii="Tahoma" w:hAnsi="Tahoma" w:cs="Tahoma"/>
          <w:sz w:val="20"/>
          <w:szCs w:val="20"/>
          <w:lang w:val="it-IT"/>
        </w:rPr>
      </w:pPr>
      <w:r>
        <w:rPr>
          <w:rFonts w:ascii="Tahoma" w:hAnsi="Tahoma" w:cs="Tahoma"/>
          <w:sz w:val="20"/>
          <w:szCs w:val="20"/>
          <w:lang w:val="it-IT"/>
        </w:rPr>
        <w:lastRenderedPageBreak/>
        <w:t xml:space="preserve">Penerapan pola tanam di lahan gambut untuk mensiasati kondisi lahan dapat dilakukan sehingga usahatani dapat dilakukan sepanjang tahun. Pada daerah yang tidak tergenang, maka penanaman tanaman pangan, palawija dan hortikultura (padi gogo, jagung, kedelai, sayur dan buah-buahan) dapat diusahakan. Sedangkan pada daerah tergenang komoditas sagu sebagai komoditas sumber karbohidrat yang memiliki peluang pasar prospektif dapat dilakukan. Tanaman padi tahan genangan juga dapat diusahakan di daerah ini. </w:t>
      </w:r>
    </w:p>
    <w:p w:rsidR="00A352DB" w:rsidRDefault="00A352DB" w:rsidP="00A352DB">
      <w:pPr>
        <w:spacing w:line="312" w:lineRule="auto"/>
        <w:rPr>
          <w:rFonts w:ascii="Tahoma" w:hAnsi="Tahoma" w:cs="Tahoma"/>
          <w:sz w:val="20"/>
          <w:szCs w:val="20"/>
          <w:lang w:val="it-IT"/>
        </w:rPr>
      </w:pPr>
      <w:r>
        <w:rPr>
          <w:rFonts w:ascii="Tahoma" w:hAnsi="Tahoma" w:cs="Tahoma"/>
          <w:sz w:val="20"/>
          <w:szCs w:val="20"/>
          <w:lang w:val="it-IT"/>
        </w:rPr>
        <w:tab/>
        <w:t>Teknologi surjan juga dapat dilaksanakan sehingga pada musim yang sama petani dapat mengusahakan padi pada area tabukan dan tanaman semusim yang tidak tahan genangan dapat diusahakan di area guludan.</w:t>
      </w:r>
    </w:p>
    <w:p w:rsidR="00A352DB" w:rsidRDefault="00A352DB" w:rsidP="00A352DB">
      <w:pPr>
        <w:spacing w:line="312" w:lineRule="auto"/>
        <w:ind w:firstLine="720"/>
        <w:rPr>
          <w:rFonts w:ascii="Tahoma" w:hAnsi="Tahoma" w:cs="Tahoma"/>
          <w:sz w:val="20"/>
          <w:szCs w:val="20"/>
          <w:lang w:val="it-IT"/>
        </w:rPr>
      </w:pPr>
      <w:r>
        <w:rPr>
          <w:rFonts w:ascii="Tahoma" w:hAnsi="Tahoma" w:cs="Tahoma"/>
          <w:sz w:val="20"/>
          <w:szCs w:val="20"/>
          <w:lang w:val="it-IT"/>
        </w:rPr>
        <w:t xml:space="preserve">Untuk komoditas tanaman pangan  yang dapat diusahakan pada tanah gambut meliputi : </w:t>
      </w:r>
    </w:p>
    <w:p w:rsidR="00A352DB" w:rsidRDefault="00A352DB" w:rsidP="00A352DB">
      <w:pPr>
        <w:pStyle w:val="ListParagraph"/>
        <w:numPr>
          <w:ilvl w:val="0"/>
          <w:numId w:val="2"/>
        </w:numPr>
        <w:spacing w:line="312" w:lineRule="auto"/>
        <w:ind w:left="426"/>
        <w:rPr>
          <w:rFonts w:ascii="Tahoma" w:hAnsi="Tahoma" w:cs="Tahoma"/>
          <w:sz w:val="20"/>
          <w:szCs w:val="20"/>
          <w:lang w:val="it-IT" w:eastAsia="x-none"/>
        </w:rPr>
      </w:pPr>
      <w:r>
        <w:rPr>
          <w:rFonts w:ascii="Tahoma" w:hAnsi="Tahoma" w:cs="Tahoma"/>
          <w:sz w:val="20"/>
          <w:szCs w:val="20"/>
          <w:lang w:val="it-IT" w:eastAsia="x-none"/>
        </w:rPr>
        <w:t xml:space="preserve">Padi. </w:t>
      </w:r>
      <w:r>
        <w:rPr>
          <w:rFonts w:ascii="Tahoma" w:hAnsi="Tahoma" w:cs="Tahoma"/>
          <w:sz w:val="20"/>
          <w:szCs w:val="20"/>
          <w:lang w:val="it-IT"/>
        </w:rPr>
        <w:t>Pemilihan varietas sesuai kondisi lahan sangat penting di lakukan, hal ini dikarenakan kondisi lahan gambut tidak semuanya tergenang, sehingga penggunaan padi gogo rancah sangat dianjurkan. Pada daerah yang tergenang dalam waktu yang lama penggunaan teknologi rakit dapat dilakukan</w:t>
      </w:r>
      <w:r>
        <w:rPr>
          <w:rFonts w:ascii="Tahoma" w:hAnsi="Tahoma" w:cs="Tahoma"/>
          <w:sz w:val="20"/>
          <w:szCs w:val="20"/>
          <w:lang w:val="it-IT" w:eastAsia="x-none"/>
        </w:rPr>
        <w:t xml:space="preserve">. </w:t>
      </w:r>
    </w:p>
    <w:p w:rsidR="00A352DB" w:rsidRDefault="00A352DB" w:rsidP="00A352DB">
      <w:pPr>
        <w:pStyle w:val="ListParagraph"/>
        <w:numPr>
          <w:ilvl w:val="0"/>
          <w:numId w:val="2"/>
        </w:numPr>
        <w:spacing w:line="312" w:lineRule="auto"/>
        <w:ind w:left="426"/>
        <w:rPr>
          <w:rFonts w:ascii="Tahoma" w:hAnsi="Tahoma" w:cs="Tahoma"/>
          <w:sz w:val="20"/>
          <w:szCs w:val="20"/>
          <w:lang w:val="it-IT" w:eastAsia="x-none"/>
        </w:rPr>
      </w:pPr>
      <w:r>
        <w:rPr>
          <w:rFonts w:ascii="Tahoma" w:hAnsi="Tahoma" w:cs="Tahoma"/>
          <w:sz w:val="20"/>
          <w:szCs w:val="20"/>
          <w:lang w:val="it-IT" w:eastAsia="x-none"/>
        </w:rPr>
        <w:t xml:space="preserve">Jagung. </w:t>
      </w:r>
      <w:r>
        <w:rPr>
          <w:rFonts w:ascii="Tahoma" w:hAnsi="Tahoma" w:cs="Tahoma"/>
          <w:sz w:val="20"/>
          <w:szCs w:val="20"/>
          <w:lang w:val="it-IT"/>
        </w:rPr>
        <w:t>Hasil pengamatan lapang menunjukkan bahwa varietas jagung Sukmaraga dan Bisma (komposit) cukup adaptif dan memberikan hasil rata-rata 6,8 ton/ha, sedangkan untuk jagung hibrida dapat menggunakan varietas Nasa 29 atau Pionir. Sistem tanam Double row Zig-zag dengan jarak tanam 70 x 40 x 25 cm (Jafri, 2011). Kelebihan sistem tanam ini adalah jumlah tanaman mencapai 114 ribu tanaman dan mampu memberikan produksi 20 ton/ha</w:t>
      </w:r>
    </w:p>
    <w:p w:rsidR="00A352DB" w:rsidRDefault="00A352DB" w:rsidP="00A352DB">
      <w:pPr>
        <w:pStyle w:val="ListParagraph"/>
        <w:numPr>
          <w:ilvl w:val="0"/>
          <w:numId w:val="2"/>
        </w:numPr>
        <w:spacing w:line="312" w:lineRule="auto"/>
        <w:ind w:left="426"/>
        <w:rPr>
          <w:rFonts w:ascii="Tahoma" w:hAnsi="Tahoma" w:cs="Tahoma"/>
          <w:sz w:val="20"/>
          <w:szCs w:val="20"/>
          <w:lang w:val="it-IT" w:eastAsia="x-none"/>
        </w:rPr>
      </w:pPr>
      <w:r>
        <w:rPr>
          <w:rFonts w:ascii="Tahoma" w:hAnsi="Tahoma" w:cs="Tahoma"/>
          <w:sz w:val="20"/>
          <w:szCs w:val="20"/>
          <w:lang w:val="it-IT" w:eastAsia="x-none"/>
        </w:rPr>
        <w:t xml:space="preserve">Kedelai. </w:t>
      </w:r>
      <w:r>
        <w:rPr>
          <w:rFonts w:ascii="Tahoma" w:hAnsi="Tahoma" w:cs="Tahoma"/>
          <w:sz w:val="20"/>
          <w:szCs w:val="20"/>
          <w:lang w:val="it-IT"/>
        </w:rPr>
        <w:t>Varietas kedelai yang sesuai untuk lahan masam dianjurkan dikaitkan dengan sifat tanah gambut</w:t>
      </w:r>
      <w:r>
        <w:rPr>
          <w:rFonts w:ascii="Tahoma" w:hAnsi="Tahoma" w:cs="Tahoma"/>
          <w:sz w:val="20"/>
          <w:szCs w:val="20"/>
          <w:lang w:val="it-IT" w:eastAsia="x-none"/>
        </w:rPr>
        <w:t>.</w:t>
      </w:r>
    </w:p>
    <w:p w:rsidR="00A352DB" w:rsidRDefault="00A352DB" w:rsidP="00A352DB">
      <w:pPr>
        <w:pStyle w:val="ListParagraph"/>
        <w:spacing w:line="240" w:lineRule="auto"/>
        <w:ind w:left="426"/>
        <w:rPr>
          <w:rFonts w:ascii="Tahoma" w:hAnsi="Tahoma" w:cs="Tahoma"/>
          <w:sz w:val="20"/>
          <w:szCs w:val="20"/>
          <w:lang w:val="it-IT" w:eastAsia="x-none"/>
        </w:rPr>
      </w:pPr>
      <w:r>
        <w:rPr>
          <w:rFonts w:ascii="Tahoma" w:hAnsi="Tahoma" w:cs="Tahoma"/>
          <w:sz w:val="20"/>
          <w:szCs w:val="20"/>
          <w:lang w:val="it-IT" w:eastAsia="x-none"/>
        </w:rPr>
        <w:t xml:space="preserve"> </w:t>
      </w:r>
    </w:p>
    <w:p w:rsidR="00A352DB" w:rsidRDefault="00A352DB" w:rsidP="00A352DB">
      <w:pPr>
        <w:pStyle w:val="ListParagraph"/>
        <w:numPr>
          <w:ilvl w:val="0"/>
          <w:numId w:val="1"/>
        </w:numPr>
        <w:spacing w:line="312" w:lineRule="auto"/>
        <w:ind w:left="364"/>
        <w:rPr>
          <w:rFonts w:ascii="Tahoma" w:hAnsi="Tahoma" w:cs="Tahoma"/>
          <w:b/>
          <w:sz w:val="20"/>
          <w:szCs w:val="20"/>
          <w:lang w:val="it-IT" w:eastAsia="x-none"/>
        </w:rPr>
      </w:pPr>
      <w:r>
        <w:rPr>
          <w:rFonts w:ascii="Tahoma" w:hAnsi="Tahoma" w:cs="Tahoma"/>
          <w:b/>
          <w:sz w:val="20"/>
          <w:szCs w:val="20"/>
          <w:lang w:val="it-IT" w:eastAsia="x-none"/>
        </w:rPr>
        <w:t>Ameliorasi</w:t>
      </w:r>
    </w:p>
    <w:p w:rsidR="00A352DB" w:rsidRDefault="00A352DB" w:rsidP="00A352DB">
      <w:pPr>
        <w:pStyle w:val="ListParagraph"/>
        <w:spacing w:line="312" w:lineRule="auto"/>
        <w:ind w:left="0" w:firstLine="720"/>
        <w:rPr>
          <w:rFonts w:ascii="Tahoma" w:hAnsi="Tahoma" w:cs="Tahoma"/>
          <w:sz w:val="20"/>
          <w:szCs w:val="20"/>
          <w:lang w:val="it-IT" w:eastAsia="x-none"/>
        </w:rPr>
      </w:pPr>
      <w:r>
        <w:rPr>
          <w:rFonts w:ascii="Tahoma" w:hAnsi="Tahoma" w:cs="Tahoma"/>
          <w:sz w:val="20"/>
          <w:szCs w:val="20"/>
          <w:lang w:val="it-IT" w:eastAsia="x-none"/>
        </w:rPr>
        <w:t xml:space="preserve">Untuk mengatasi reaksi tanah gambut yang memiliki pH rendah dan memiliki </w:t>
      </w:r>
      <w:r>
        <w:rPr>
          <w:rFonts w:ascii="Tahoma" w:hAnsi="Tahoma" w:cs="Tahoma"/>
          <w:sz w:val="20"/>
          <w:szCs w:val="20"/>
          <w:lang w:val="it-IT" w:eastAsia="x-none"/>
        </w:rPr>
        <w:lastRenderedPageBreak/>
        <w:t xml:space="preserve">kandungan asam-asam organik yang bersifat meracun bagi tanaman, maka tindakan ameliorasi perlu dilakukan dengan menggunakan pupuk kandang, dolomit, abu dan pupuk gambut serta tanah yang kaya akan Fe. Tindakan ameliorasi akan lebih baik apabila di berikan secara insitu yaitu tepat dimana perakaran tanaman memerlukan.  </w:t>
      </w:r>
    </w:p>
    <w:p w:rsidR="00A352DB" w:rsidRDefault="00A352DB" w:rsidP="00A352DB">
      <w:pPr>
        <w:pStyle w:val="ListParagraph"/>
        <w:spacing w:line="240" w:lineRule="auto"/>
        <w:ind w:left="0" w:firstLine="720"/>
        <w:rPr>
          <w:rFonts w:ascii="Tahoma" w:hAnsi="Tahoma" w:cs="Tahoma"/>
          <w:b/>
          <w:sz w:val="20"/>
          <w:szCs w:val="20"/>
          <w:lang w:val="it-IT" w:eastAsia="x-none"/>
        </w:rPr>
      </w:pPr>
    </w:p>
    <w:p w:rsidR="00A352DB" w:rsidRDefault="00A352DB" w:rsidP="00A352DB">
      <w:pPr>
        <w:pStyle w:val="ListParagraph"/>
        <w:numPr>
          <w:ilvl w:val="0"/>
          <w:numId w:val="1"/>
        </w:numPr>
        <w:spacing w:line="312" w:lineRule="auto"/>
        <w:ind w:left="392"/>
        <w:rPr>
          <w:rFonts w:ascii="Tahoma" w:hAnsi="Tahoma" w:cs="Tahoma"/>
          <w:b/>
          <w:sz w:val="20"/>
          <w:szCs w:val="20"/>
          <w:lang w:val="it-IT" w:eastAsia="x-none"/>
        </w:rPr>
      </w:pPr>
      <w:r>
        <w:rPr>
          <w:rFonts w:ascii="Tahoma" w:hAnsi="Tahoma" w:cs="Tahoma"/>
          <w:b/>
          <w:sz w:val="20"/>
          <w:szCs w:val="20"/>
          <w:lang w:val="it-IT" w:eastAsia="x-none"/>
        </w:rPr>
        <w:t>Pemupukan</w:t>
      </w:r>
    </w:p>
    <w:p w:rsidR="00A352DB" w:rsidRDefault="00A352DB" w:rsidP="00A352DB">
      <w:pPr>
        <w:pStyle w:val="ListParagraph"/>
        <w:spacing w:line="240" w:lineRule="auto"/>
        <w:ind w:left="392"/>
        <w:rPr>
          <w:rFonts w:ascii="Tahoma" w:hAnsi="Tahoma" w:cs="Tahoma"/>
          <w:b/>
          <w:sz w:val="16"/>
          <w:szCs w:val="16"/>
          <w:lang w:val="it-IT" w:eastAsia="x-none"/>
        </w:rPr>
      </w:pPr>
    </w:p>
    <w:p w:rsidR="00A352DB" w:rsidRDefault="00A352DB" w:rsidP="00A352DB">
      <w:pPr>
        <w:pStyle w:val="ListParagraph"/>
        <w:spacing w:line="312" w:lineRule="auto"/>
        <w:ind w:left="0" w:firstLine="720"/>
        <w:rPr>
          <w:rFonts w:ascii="Tahoma" w:hAnsi="Tahoma" w:cs="Tahoma"/>
          <w:sz w:val="20"/>
          <w:szCs w:val="20"/>
          <w:lang w:val="it-IT" w:eastAsia="x-none"/>
        </w:rPr>
      </w:pPr>
      <w:r>
        <w:rPr>
          <w:rFonts w:ascii="Tahoma" w:hAnsi="Tahoma" w:cs="Tahoma"/>
          <w:sz w:val="20"/>
          <w:szCs w:val="20"/>
          <w:lang w:val="it-IT" w:eastAsia="x-none"/>
        </w:rPr>
        <w:t xml:space="preserve">Setiap tanaman memerlukan asupan hara dalam jenis dan jumlah yang cukup, disisi lain meskipun tersedia namun hara di tanah gambut pada umumnya terikat oleh asam-asam organik sehingga untuk mendapatkan produksi yang optimal pemupukan penting dilakukan baik hara makro (N,P,K,Ca,Mg maupun hara mikro Cu, Zn dan B yang kurang tersedia. Hasil penelitian menunjukkan bahwa pemupukan di lahan gambut berkaitan dengan sifat fisiknya menyebabkan efisiensinya rendah oleh karena itu penggunaan pupuk yang bersifat </w:t>
      </w:r>
      <w:r>
        <w:rPr>
          <w:rFonts w:ascii="Tahoma" w:hAnsi="Tahoma" w:cs="Tahoma"/>
          <w:i/>
          <w:sz w:val="20"/>
          <w:szCs w:val="20"/>
          <w:lang w:val="it-IT" w:eastAsia="x-none"/>
        </w:rPr>
        <w:t xml:space="preserve">slow release </w:t>
      </w:r>
      <w:r>
        <w:rPr>
          <w:rFonts w:ascii="Tahoma" w:hAnsi="Tahoma" w:cs="Tahoma"/>
          <w:sz w:val="20"/>
          <w:szCs w:val="20"/>
          <w:lang w:val="it-IT" w:eastAsia="x-none"/>
        </w:rPr>
        <w:t xml:space="preserve">akan lebih baik dilakukan. Berkaitan dengan ketersediaan hara P penggunaan Rock Fosfat lebih baik. </w:t>
      </w:r>
    </w:p>
    <w:p w:rsidR="00A352DB" w:rsidRDefault="00A352DB" w:rsidP="00A352DB">
      <w:pPr>
        <w:pStyle w:val="ListParagraph"/>
        <w:spacing w:line="312" w:lineRule="auto"/>
        <w:ind w:left="0" w:firstLine="720"/>
        <w:rPr>
          <w:rFonts w:ascii="Tahoma" w:hAnsi="Tahoma" w:cs="Tahoma"/>
          <w:sz w:val="20"/>
          <w:szCs w:val="20"/>
          <w:lang w:val="it-IT" w:eastAsia="x-none"/>
        </w:rPr>
      </w:pPr>
      <w:r>
        <w:rPr>
          <w:rFonts w:ascii="Tahoma" w:hAnsi="Tahoma" w:cs="Tahoma"/>
          <w:sz w:val="20"/>
          <w:szCs w:val="20"/>
          <w:lang w:val="it-IT" w:eastAsia="x-none"/>
        </w:rPr>
        <w:t>Selain pupuk anorganik untuk meningkatkan produktifitas lahan gambut, maka perlu dilakukan aktivasi tanah gambut melalui sistem inkubasi pupuk, kapur, pupuk kandang yang dikombinasikan dengan pengelolaan tata air yang baik.</w:t>
      </w:r>
    </w:p>
    <w:p w:rsidR="00A352DB" w:rsidRDefault="00A352DB" w:rsidP="00A352DB">
      <w:pPr>
        <w:pStyle w:val="ListParagraph"/>
        <w:spacing w:line="240" w:lineRule="auto"/>
        <w:ind w:left="0" w:firstLine="720"/>
        <w:rPr>
          <w:rFonts w:ascii="Tahoma" w:hAnsi="Tahoma" w:cs="Tahoma"/>
          <w:sz w:val="20"/>
          <w:szCs w:val="20"/>
          <w:lang w:val="it-IT" w:eastAsia="x-none"/>
        </w:rPr>
      </w:pPr>
    </w:p>
    <w:p w:rsidR="00A352DB" w:rsidRDefault="00A352DB" w:rsidP="00A352DB">
      <w:pPr>
        <w:pStyle w:val="ListParagraph"/>
        <w:numPr>
          <w:ilvl w:val="0"/>
          <w:numId w:val="1"/>
        </w:numPr>
        <w:spacing w:line="240" w:lineRule="auto"/>
        <w:ind w:left="392"/>
        <w:rPr>
          <w:rFonts w:ascii="Tahoma" w:hAnsi="Tahoma" w:cs="Tahoma"/>
          <w:b/>
          <w:sz w:val="20"/>
          <w:szCs w:val="20"/>
          <w:lang w:val="it-IT" w:eastAsia="x-none"/>
        </w:rPr>
      </w:pPr>
      <w:r>
        <w:rPr>
          <w:rFonts w:ascii="Tahoma" w:hAnsi="Tahoma" w:cs="Tahoma"/>
          <w:b/>
          <w:sz w:val="20"/>
          <w:szCs w:val="20"/>
          <w:lang w:val="it-IT" w:eastAsia="x-none"/>
        </w:rPr>
        <w:t>Pemanfaatan mikroba potensial indegenous tanah gambut</w:t>
      </w:r>
    </w:p>
    <w:p w:rsidR="00A352DB" w:rsidRDefault="00A352DB" w:rsidP="00A352DB">
      <w:pPr>
        <w:pStyle w:val="ListParagraph"/>
        <w:spacing w:line="240" w:lineRule="auto"/>
        <w:ind w:left="392"/>
        <w:rPr>
          <w:rFonts w:ascii="Tahoma" w:hAnsi="Tahoma" w:cs="Tahoma"/>
          <w:b/>
          <w:sz w:val="20"/>
          <w:szCs w:val="20"/>
          <w:lang w:val="it-IT" w:eastAsia="x-none"/>
        </w:rPr>
      </w:pPr>
    </w:p>
    <w:p w:rsidR="00A352DB" w:rsidRDefault="00A352DB" w:rsidP="00A352DB">
      <w:pPr>
        <w:tabs>
          <w:tab w:val="left" w:pos="4253"/>
        </w:tabs>
        <w:spacing w:line="312" w:lineRule="auto"/>
        <w:ind w:firstLine="709"/>
        <w:rPr>
          <w:rFonts w:ascii="Tahoma" w:hAnsi="Tahoma" w:cs="Tahoma"/>
          <w:sz w:val="20"/>
          <w:szCs w:val="20"/>
          <w:lang w:val="it-IT"/>
        </w:rPr>
      </w:pPr>
      <w:r>
        <w:rPr>
          <w:rFonts w:ascii="Tahoma" w:hAnsi="Tahoma" w:cs="Tahoma"/>
          <w:sz w:val="20"/>
          <w:szCs w:val="20"/>
          <w:lang w:val="it-IT"/>
        </w:rPr>
        <w:t xml:space="preserve">Pada tanah gambut sebagaimana halnya jenis tanah lainnya memiliki keragaman mikroba yang bermanfaat (Pratiwi </w:t>
      </w:r>
      <w:r>
        <w:rPr>
          <w:rFonts w:ascii="Tahoma" w:hAnsi="Tahoma" w:cs="Tahoma"/>
          <w:i/>
          <w:sz w:val="20"/>
          <w:szCs w:val="20"/>
          <w:lang w:val="it-IT"/>
        </w:rPr>
        <w:t>et al.</w:t>
      </w:r>
      <w:r>
        <w:rPr>
          <w:rFonts w:ascii="Tahoma" w:hAnsi="Tahoma" w:cs="Tahoma"/>
          <w:sz w:val="20"/>
          <w:szCs w:val="20"/>
          <w:lang w:val="it-IT"/>
        </w:rPr>
        <w:t xml:space="preserve">, 2018) seperti mikroba pelarut fosfat (Istina </w:t>
      </w:r>
      <w:r>
        <w:rPr>
          <w:rFonts w:ascii="Tahoma" w:hAnsi="Tahoma" w:cs="Tahoma"/>
          <w:i/>
          <w:sz w:val="20"/>
          <w:szCs w:val="20"/>
          <w:lang w:val="it-IT"/>
        </w:rPr>
        <w:t>et al.</w:t>
      </w:r>
      <w:r>
        <w:rPr>
          <w:rFonts w:ascii="Tahoma" w:hAnsi="Tahoma" w:cs="Tahoma"/>
          <w:sz w:val="20"/>
          <w:szCs w:val="20"/>
          <w:lang w:val="it-IT"/>
        </w:rPr>
        <w:t xml:space="preserve">.,  2015), penambat nitrogen (Rohyani, 2014), mikroba yang berperan sebagai pengatur tumbuh, antagonis dan remediator terhadap unsur-unsur kimia yang bersifat meracun serta penghasil enzim protease yang penting untuk industri makanan (Mahdiyah, 2015).  Sehingga pemanfaatannya akan meningkatkan efisiensi khususnya pemupukan dan pengendalian hama </w:t>
      </w:r>
      <w:r>
        <w:rPr>
          <w:rFonts w:ascii="Tahoma" w:hAnsi="Tahoma" w:cs="Tahoma"/>
          <w:sz w:val="20"/>
          <w:szCs w:val="20"/>
          <w:lang w:val="it-IT"/>
        </w:rPr>
        <w:lastRenderedPageBreak/>
        <w:t>dan penyakit tanaman yang adaptif di tanah gambut.</w:t>
      </w:r>
    </w:p>
    <w:p w:rsidR="00A352DB" w:rsidRDefault="00A352DB" w:rsidP="00A352DB">
      <w:pPr>
        <w:tabs>
          <w:tab w:val="left" w:pos="4253"/>
        </w:tabs>
        <w:spacing w:line="240" w:lineRule="auto"/>
        <w:ind w:left="426"/>
        <w:jc w:val="center"/>
        <w:rPr>
          <w:rFonts w:ascii="Tahoma" w:hAnsi="Tahoma" w:cs="Tahoma"/>
          <w:b/>
          <w:sz w:val="20"/>
          <w:szCs w:val="20"/>
          <w:lang w:val="it-IT"/>
        </w:rPr>
      </w:pPr>
    </w:p>
    <w:p w:rsidR="00A352DB" w:rsidRDefault="00A352DB" w:rsidP="00A352DB">
      <w:pPr>
        <w:tabs>
          <w:tab w:val="left" w:pos="4253"/>
        </w:tabs>
        <w:spacing w:line="240" w:lineRule="auto"/>
        <w:ind w:left="284"/>
        <w:jc w:val="center"/>
        <w:rPr>
          <w:rFonts w:ascii="Tahoma" w:hAnsi="Tahoma" w:cs="Tahoma"/>
          <w:b/>
          <w:sz w:val="24"/>
          <w:szCs w:val="24"/>
          <w:lang w:val="it-IT"/>
        </w:rPr>
      </w:pPr>
      <w:r>
        <w:rPr>
          <w:rFonts w:ascii="Tahoma" w:hAnsi="Tahoma" w:cs="Tahoma"/>
          <w:b/>
          <w:sz w:val="24"/>
          <w:szCs w:val="24"/>
          <w:lang w:val="it-IT"/>
        </w:rPr>
        <w:t>KESIMPULAN</w:t>
      </w:r>
    </w:p>
    <w:p w:rsidR="00A352DB" w:rsidRDefault="00A352DB" w:rsidP="00A352DB">
      <w:pPr>
        <w:tabs>
          <w:tab w:val="left" w:pos="4253"/>
        </w:tabs>
        <w:spacing w:line="240" w:lineRule="auto"/>
        <w:ind w:left="426"/>
        <w:rPr>
          <w:rFonts w:ascii="Tahoma" w:hAnsi="Tahoma" w:cs="Tahoma"/>
          <w:sz w:val="24"/>
          <w:szCs w:val="24"/>
          <w:lang w:val="it-IT"/>
        </w:rPr>
      </w:pPr>
    </w:p>
    <w:p w:rsidR="00A352DB" w:rsidRDefault="00A352DB" w:rsidP="00A352DB">
      <w:pPr>
        <w:spacing w:line="312" w:lineRule="auto"/>
        <w:ind w:firstLine="720"/>
        <w:rPr>
          <w:rFonts w:ascii="Tahoma" w:hAnsi="Tahoma" w:cs="Tahoma"/>
          <w:sz w:val="20"/>
          <w:szCs w:val="20"/>
        </w:rPr>
      </w:pPr>
      <w:r>
        <w:rPr>
          <w:rFonts w:ascii="Tahoma" w:hAnsi="Tahoma" w:cs="Tahoma"/>
          <w:sz w:val="20"/>
          <w:szCs w:val="20"/>
        </w:rPr>
        <w:t xml:space="preserve">Strategi untuk pemenuhan kebutuhan pangan pada lahan gambut adalah dengan penerapan inovasi </w:t>
      </w:r>
      <w:proofErr w:type="gramStart"/>
      <w:r>
        <w:rPr>
          <w:rFonts w:ascii="Tahoma" w:hAnsi="Tahoma" w:cs="Tahoma"/>
          <w:sz w:val="20"/>
          <w:szCs w:val="20"/>
        </w:rPr>
        <w:t>teknologi :</w:t>
      </w:r>
      <w:proofErr w:type="gramEnd"/>
      <w:r>
        <w:rPr>
          <w:rFonts w:ascii="Tahoma" w:hAnsi="Tahoma" w:cs="Tahoma"/>
          <w:sz w:val="20"/>
          <w:szCs w:val="20"/>
        </w:rPr>
        <w:t xml:space="preserve"> pengelolaan tata air, pemilihan komoditas yang ramah gambut, ameliorasi, pemupukan dan pemanfaatan mikroba potensial indegenus tanah gambut.</w:t>
      </w:r>
    </w:p>
    <w:p w:rsidR="00A352DB" w:rsidRDefault="00A352DB" w:rsidP="00A352DB">
      <w:pPr>
        <w:spacing w:line="240" w:lineRule="auto"/>
        <w:ind w:left="2" w:firstLine="718"/>
        <w:rPr>
          <w:rFonts w:ascii="Tahoma" w:hAnsi="Tahoma" w:cs="Tahoma"/>
          <w:sz w:val="20"/>
          <w:szCs w:val="20"/>
        </w:rPr>
      </w:pPr>
    </w:p>
    <w:p w:rsidR="00A352DB" w:rsidRDefault="00A352DB" w:rsidP="00A352DB">
      <w:pPr>
        <w:tabs>
          <w:tab w:val="left" w:pos="4253"/>
        </w:tabs>
        <w:spacing w:line="240" w:lineRule="auto"/>
        <w:ind w:left="284"/>
        <w:jc w:val="center"/>
        <w:rPr>
          <w:rFonts w:ascii="Tahoma" w:hAnsi="Tahoma" w:cs="Tahoma"/>
          <w:b/>
          <w:sz w:val="24"/>
          <w:szCs w:val="24"/>
          <w:lang w:val="it-IT"/>
        </w:rPr>
      </w:pPr>
      <w:r>
        <w:rPr>
          <w:rFonts w:ascii="Tahoma" w:hAnsi="Tahoma" w:cs="Tahoma"/>
          <w:b/>
          <w:sz w:val="24"/>
          <w:szCs w:val="24"/>
          <w:lang w:val="it-IT"/>
        </w:rPr>
        <w:t>DAFTAR PUSTAKA</w:t>
      </w:r>
    </w:p>
    <w:p w:rsidR="00A352DB" w:rsidRDefault="00A352DB" w:rsidP="00A352DB">
      <w:pPr>
        <w:spacing w:line="240" w:lineRule="auto"/>
        <w:ind w:left="2" w:firstLine="718"/>
        <w:rPr>
          <w:rFonts w:ascii="Tahoma" w:hAnsi="Tahoma" w:cs="Tahoma"/>
          <w:sz w:val="20"/>
          <w:szCs w:val="20"/>
          <w:lang w:val="it-IT"/>
        </w:rPr>
      </w:pPr>
    </w:p>
    <w:p w:rsidR="00A352DB" w:rsidRDefault="00A352DB" w:rsidP="00A352DB">
      <w:pPr>
        <w:spacing w:line="240" w:lineRule="auto"/>
        <w:ind w:left="567" w:right="-17" w:hanging="567"/>
        <w:rPr>
          <w:rFonts w:ascii="Tahoma" w:hAnsi="Tahoma" w:cs="Tahoma"/>
          <w:sz w:val="20"/>
          <w:szCs w:val="20"/>
        </w:rPr>
      </w:pPr>
      <w:proofErr w:type="gramStart"/>
      <w:r>
        <w:rPr>
          <w:rFonts w:ascii="Tahoma" w:hAnsi="Tahoma" w:cs="Tahoma"/>
          <w:sz w:val="20"/>
          <w:szCs w:val="20"/>
        </w:rPr>
        <w:t>Badan pusat Statistik, 2019.</w:t>
      </w:r>
      <w:proofErr w:type="gramEnd"/>
      <w:r>
        <w:rPr>
          <w:rFonts w:ascii="Tahoma" w:hAnsi="Tahoma" w:cs="Tahoma"/>
          <w:sz w:val="20"/>
          <w:szCs w:val="20"/>
        </w:rPr>
        <w:t xml:space="preserve"> Proyeksi Penduduk Indonesia 2010 - 2035 </w:t>
      </w:r>
    </w:p>
    <w:p w:rsidR="00A352DB" w:rsidRDefault="00A352DB" w:rsidP="00A352DB">
      <w:pPr>
        <w:spacing w:line="240" w:lineRule="auto"/>
        <w:ind w:left="567" w:right="-17" w:hanging="567"/>
        <w:rPr>
          <w:rFonts w:ascii="Tahoma" w:hAnsi="Tahoma" w:cs="Tahoma"/>
          <w:sz w:val="20"/>
          <w:szCs w:val="20"/>
        </w:rPr>
      </w:pPr>
      <w:r>
        <w:rPr>
          <w:rFonts w:ascii="Tahoma" w:hAnsi="Tahoma" w:cs="Tahoma"/>
          <w:sz w:val="20"/>
          <w:szCs w:val="20"/>
        </w:rPr>
        <w:t>Husnain, H., I G.P. Wigena, Ai Dariah, S. Marwanto, P</w:t>
      </w:r>
      <w:proofErr w:type="gramStart"/>
      <w:r>
        <w:rPr>
          <w:rFonts w:ascii="Tahoma" w:hAnsi="Tahoma" w:cs="Tahoma"/>
          <w:sz w:val="20"/>
          <w:szCs w:val="20"/>
        </w:rPr>
        <w:t>.</w:t>
      </w:r>
      <w:proofErr w:type="gramEnd"/>
      <w:r>
        <w:rPr>
          <w:rFonts w:ascii="Tahoma" w:hAnsi="Tahoma" w:cs="Tahoma"/>
          <w:sz w:val="20"/>
          <w:szCs w:val="20"/>
        </w:rPr>
        <w:br/>
        <w:t>Setyanto, dan F. Agus. 2014. CO2 emissions from</w:t>
      </w:r>
      <w:r>
        <w:rPr>
          <w:rFonts w:ascii="Tahoma" w:hAnsi="Tahoma" w:cs="Tahoma"/>
          <w:sz w:val="20"/>
          <w:szCs w:val="20"/>
        </w:rPr>
        <w:br/>
        <w:t xml:space="preserve">tropical drained peat in Sumatra, Indonesia. </w:t>
      </w:r>
      <w:proofErr w:type="gramStart"/>
      <w:r>
        <w:rPr>
          <w:rFonts w:ascii="Tahoma" w:hAnsi="Tahoma" w:cs="Tahoma"/>
          <w:sz w:val="20"/>
          <w:szCs w:val="20"/>
        </w:rPr>
        <w:t>Mitig.</w:t>
      </w:r>
      <w:proofErr w:type="gramEnd"/>
      <w:r>
        <w:rPr>
          <w:rFonts w:ascii="Tahoma" w:hAnsi="Tahoma" w:cs="Tahoma"/>
          <w:sz w:val="20"/>
          <w:szCs w:val="20"/>
        </w:rPr>
        <w:br/>
        <w:t xml:space="preserve">Adapt. </w:t>
      </w:r>
      <w:proofErr w:type="gramStart"/>
      <w:r>
        <w:rPr>
          <w:rFonts w:ascii="Tahoma" w:hAnsi="Tahoma" w:cs="Tahoma"/>
          <w:sz w:val="20"/>
          <w:szCs w:val="20"/>
        </w:rPr>
        <w:t>Strateg.</w:t>
      </w:r>
      <w:proofErr w:type="gramEnd"/>
      <w:r>
        <w:rPr>
          <w:rFonts w:ascii="Tahoma" w:hAnsi="Tahoma" w:cs="Tahoma"/>
          <w:sz w:val="20"/>
          <w:szCs w:val="20"/>
        </w:rPr>
        <w:t xml:space="preserve"> </w:t>
      </w:r>
      <w:proofErr w:type="gramStart"/>
      <w:r>
        <w:rPr>
          <w:rFonts w:ascii="Tahoma" w:hAnsi="Tahoma" w:cs="Tahoma"/>
          <w:sz w:val="20"/>
          <w:szCs w:val="20"/>
        </w:rPr>
        <w:t>Glob.</w:t>
      </w:r>
      <w:proofErr w:type="gramEnd"/>
      <w:r>
        <w:rPr>
          <w:rFonts w:ascii="Tahoma" w:hAnsi="Tahoma" w:cs="Tahoma"/>
          <w:sz w:val="20"/>
          <w:szCs w:val="20"/>
        </w:rPr>
        <w:t xml:space="preserve"> Chang 19:845-862</w:t>
      </w:r>
    </w:p>
    <w:p w:rsidR="00A352DB" w:rsidRDefault="00A352DB" w:rsidP="00A352DB">
      <w:pPr>
        <w:spacing w:line="240" w:lineRule="auto"/>
        <w:ind w:left="567" w:right="-17" w:hanging="567"/>
        <w:rPr>
          <w:rFonts w:ascii="Tahoma" w:hAnsi="Tahoma" w:cs="Tahoma"/>
          <w:sz w:val="20"/>
          <w:szCs w:val="20"/>
        </w:rPr>
      </w:pPr>
      <w:proofErr w:type="gramStart"/>
      <w:r>
        <w:rPr>
          <w:rFonts w:ascii="Tahoma" w:hAnsi="Tahoma" w:cs="Tahoma"/>
          <w:sz w:val="20"/>
          <w:szCs w:val="20"/>
        </w:rPr>
        <w:t>Istina Ida Nur, Happy Widiastuty, Benny Joy and Merry Anthralina, 2015.</w:t>
      </w:r>
      <w:proofErr w:type="gramEnd"/>
      <w:r>
        <w:rPr>
          <w:rFonts w:ascii="Tahoma" w:hAnsi="Tahoma" w:cs="Tahoma"/>
          <w:sz w:val="20"/>
          <w:szCs w:val="20"/>
        </w:rPr>
        <w:t xml:space="preserve"> Phosphate-Solubilizing Microbe </w:t>
      </w:r>
      <w:proofErr w:type="gramStart"/>
      <w:r>
        <w:rPr>
          <w:rFonts w:ascii="Tahoma" w:hAnsi="Tahoma" w:cs="Tahoma"/>
          <w:sz w:val="20"/>
          <w:szCs w:val="20"/>
        </w:rPr>
        <w:t>From</w:t>
      </w:r>
      <w:proofErr w:type="gramEnd"/>
      <w:r>
        <w:rPr>
          <w:rFonts w:ascii="Tahoma" w:hAnsi="Tahoma" w:cs="Tahoma"/>
          <w:sz w:val="20"/>
          <w:szCs w:val="20"/>
        </w:rPr>
        <w:t xml:space="preserve"> Saprists Peat Soil and Their Potency to Enhance Oil Palm Growth and P Uptake. Procedia Food Science 3 </w:t>
      </w:r>
      <w:proofErr w:type="gramStart"/>
      <w:r>
        <w:rPr>
          <w:rFonts w:ascii="Tahoma" w:hAnsi="Tahoma" w:cs="Tahoma"/>
          <w:sz w:val="20"/>
          <w:szCs w:val="20"/>
        </w:rPr>
        <w:t>( 2015</w:t>
      </w:r>
      <w:proofErr w:type="gramEnd"/>
      <w:r>
        <w:rPr>
          <w:rFonts w:ascii="Tahoma" w:hAnsi="Tahoma" w:cs="Tahoma"/>
          <w:sz w:val="20"/>
          <w:szCs w:val="20"/>
        </w:rPr>
        <w:t xml:space="preserve"> ) 426 – 435. </w:t>
      </w:r>
      <w:hyperlink r:id="rId10" w:history="1">
        <w:r>
          <w:rPr>
            <w:rStyle w:val="Hyperlink"/>
            <w:rFonts w:eastAsia="SimSun" w:cs="Tahoma"/>
            <w:color w:val="000000"/>
          </w:rPr>
          <w:t>https://www.sciencedirect.com/science/article/pii/ S2211601X15000486</w:t>
        </w:r>
      </w:hyperlink>
    </w:p>
    <w:p w:rsidR="00A352DB" w:rsidRDefault="00A352DB" w:rsidP="00A352DB">
      <w:pPr>
        <w:spacing w:line="240" w:lineRule="auto"/>
        <w:ind w:left="567" w:right="-17" w:hanging="567"/>
        <w:rPr>
          <w:rFonts w:ascii="Tahoma" w:hAnsi="Tahoma" w:cs="Tahoma"/>
          <w:sz w:val="20"/>
          <w:szCs w:val="20"/>
        </w:rPr>
      </w:pPr>
      <w:proofErr w:type="gramStart"/>
      <w:r>
        <w:rPr>
          <w:rFonts w:ascii="Tahoma" w:hAnsi="Tahoma" w:cs="Tahoma"/>
          <w:sz w:val="20"/>
          <w:szCs w:val="20"/>
        </w:rPr>
        <w:t>Jafri, 2011.</w:t>
      </w:r>
      <w:proofErr w:type="gramEnd"/>
      <w:r>
        <w:rPr>
          <w:rFonts w:ascii="Tahoma" w:hAnsi="Tahoma" w:cs="Tahoma"/>
          <w:sz w:val="20"/>
          <w:szCs w:val="20"/>
        </w:rPr>
        <w:t xml:space="preserve"> </w:t>
      </w:r>
      <w:proofErr w:type="gramStart"/>
      <w:r>
        <w:rPr>
          <w:rFonts w:ascii="Tahoma" w:hAnsi="Tahoma" w:cs="Tahoma"/>
          <w:sz w:val="20"/>
          <w:szCs w:val="20"/>
        </w:rPr>
        <w:t>Tanggap Pertumbuhan Beberapa varietas Jagung Terhadap Sistim Tanam Zigzag di Lahan Gambut Kalimantan Barat.</w:t>
      </w:r>
      <w:proofErr w:type="gramEnd"/>
      <w:r>
        <w:rPr>
          <w:rFonts w:ascii="Tahoma" w:hAnsi="Tahoma" w:cs="Tahoma"/>
          <w:sz w:val="20"/>
          <w:szCs w:val="20"/>
        </w:rPr>
        <w:t xml:space="preserve"> Seminar Nasional Serealia.hal 22-30.</w:t>
      </w:r>
    </w:p>
    <w:p w:rsidR="00A352DB" w:rsidRDefault="00A352DB" w:rsidP="00A352DB">
      <w:pPr>
        <w:spacing w:line="240" w:lineRule="auto"/>
        <w:ind w:left="567" w:right="-17" w:hanging="567"/>
        <w:rPr>
          <w:rFonts w:ascii="Tahoma" w:hAnsi="Tahoma" w:cs="Tahoma"/>
          <w:sz w:val="20"/>
          <w:szCs w:val="20"/>
        </w:rPr>
      </w:pPr>
      <w:proofErr w:type="gramStart"/>
      <w:r>
        <w:rPr>
          <w:rFonts w:ascii="Tahoma" w:hAnsi="Tahoma" w:cs="Tahoma"/>
          <w:sz w:val="20"/>
          <w:szCs w:val="20"/>
        </w:rPr>
        <w:t>Maas, A. 2012.</w:t>
      </w:r>
      <w:proofErr w:type="gramEnd"/>
      <w:r>
        <w:rPr>
          <w:rFonts w:ascii="Tahoma" w:hAnsi="Tahoma" w:cs="Tahoma"/>
          <w:sz w:val="20"/>
          <w:szCs w:val="20"/>
        </w:rPr>
        <w:t xml:space="preserve"> </w:t>
      </w:r>
      <w:proofErr w:type="gramStart"/>
      <w:r>
        <w:rPr>
          <w:rFonts w:ascii="Tahoma" w:hAnsi="Tahoma" w:cs="Tahoma"/>
          <w:sz w:val="20"/>
          <w:szCs w:val="20"/>
        </w:rPr>
        <w:t>Peluang dan konsekuensi pemanfaatan lahan</w:t>
      </w:r>
      <w:r>
        <w:rPr>
          <w:rFonts w:ascii="Tahoma" w:hAnsi="Tahoma" w:cs="Tahoma"/>
          <w:sz w:val="20"/>
          <w:szCs w:val="20"/>
        </w:rPr>
        <w:br/>
        <w:t>gambut masa mendatang.</w:t>
      </w:r>
      <w:proofErr w:type="gramEnd"/>
      <w:r>
        <w:rPr>
          <w:rFonts w:ascii="Tahoma" w:hAnsi="Tahoma" w:cs="Tahoma"/>
          <w:sz w:val="20"/>
          <w:szCs w:val="20"/>
        </w:rPr>
        <w:t xml:space="preserve"> </w:t>
      </w:r>
      <w:proofErr w:type="gramStart"/>
      <w:r>
        <w:rPr>
          <w:rFonts w:ascii="Tahoma" w:hAnsi="Tahoma" w:cs="Tahoma"/>
          <w:sz w:val="20"/>
          <w:szCs w:val="20"/>
        </w:rPr>
        <w:t>Hlm xvii-xxiii.</w:t>
      </w:r>
      <w:proofErr w:type="gramEnd"/>
      <w:r>
        <w:rPr>
          <w:rFonts w:ascii="Tahoma" w:hAnsi="Tahoma" w:cs="Tahoma"/>
          <w:sz w:val="20"/>
          <w:szCs w:val="20"/>
        </w:rPr>
        <w:t xml:space="preserve"> </w:t>
      </w:r>
      <w:proofErr w:type="gramStart"/>
      <w:r>
        <w:rPr>
          <w:rFonts w:ascii="Tahoma" w:hAnsi="Tahoma" w:cs="Tahoma"/>
          <w:i/>
          <w:iCs/>
          <w:sz w:val="20"/>
          <w:szCs w:val="20"/>
        </w:rPr>
        <w:t xml:space="preserve">Dalam  </w:t>
      </w:r>
      <w:r>
        <w:rPr>
          <w:rFonts w:ascii="Tahoma" w:hAnsi="Tahoma" w:cs="Tahoma"/>
          <w:sz w:val="20"/>
          <w:szCs w:val="20"/>
        </w:rPr>
        <w:t>M</w:t>
      </w:r>
      <w:proofErr w:type="gramEnd"/>
      <w:r>
        <w:rPr>
          <w:rFonts w:ascii="Tahoma" w:hAnsi="Tahoma" w:cs="Tahoma"/>
          <w:sz w:val="20"/>
          <w:szCs w:val="20"/>
        </w:rPr>
        <w:t xml:space="preserve">. Noor </w:t>
      </w:r>
      <w:r>
        <w:rPr>
          <w:rFonts w:ascii="Tahoma" w:hAnsi="Tahoma" w:cs="Tahoma"/>
          <w:i/>
          <w:iCs/>
          <w:sz w:val="20"/>
          <w:szCs w:val="20"/>
        </w:rPr>
        <w:t xml:space="preserve">et al. </w:t>
      </w:r>
      <w:r>
        <w:rPr>
          <w:rFonts w:ascii="Tahoma" w:hAnsi="Tahoma" w:cs="Tahoma"/>
          <w:sz w:val="20"/>
          <w:szCs w:val="20"/>
        </w:rPr>
        <w:t>(</w:t>
      </w:r>
      <w:r>
        <w:rPr>
          <w:rFonts w:ascii="Tahoma" w:hAnsi="Tahoma" w:cs="Tahoma"/>
          <w:i/>
          <w:iCs/>
          <w:sz w:val="20"/>
          <w:szCs w:val="20"/>
        </w:rPr>
        <w:t>Eds</w:t>
      </w:r>
      <w:r>
        <w:rPr>
          <w:rFonts w:ascii="Tahoma" w:hAnsi="Tahoma" w:cs="Tahoma"/>
          <w:sz w:val="20"/>
          <w:szCs w:val="20"/>
        </w:rPr>
        <w:t xml:space="preserve">.). Lahan </w:t>
      </w:r>
      <w:proofErr w:type="gramStart"/>
      <w:r>
        <w:rPr>
          <w:rFonts w:ascii="Tahoma" w:hAnsi="Tahoma" w:cs="Tahoma"/>
          <w:sz w:val="20"/>
          <w:szCs w:val="20"/>
        </w:rPr>
        <w:t>Gambut :</w:t>
      </w:r>
      <w:proofErr w:type="gramEnd"/>
      <w:r>
        <w:rPr>
          <w:rFonts w:ascii="Tahoma" w:hAnsi="Tahoma" w:cs="Tahoma"/>
          <w:sz w:val="20"/>
          <w:szCs w:val="20"/>
        </w:rPr>
        <w:t xml:space="preserve"> Pemanfaatan dan</w:t>
      </w:r>
      <w:r>
        <w:rPr>
          <w:rFonts w:ascii="Tahoma" w:hAnsi="Tahoma" w:cs="Tahoma"/>
          <w:sz w:val="20"/>
          <w:szCs w:val="20"/>
        </w:rPr>
        <w:br/>
        <w:t xml:space="preserve">Pengembangannya untuk Pertanian. </w:t>
      </w:r>
      <w:proofErr w:type="gramStart"/>
      <w:r>
        <w:rPr>
          <w:rFonts w:ascii="Tahoma" w:hAnsi="Tahoma" w:cs="Tahoma"/>
          <w:sz w:val="20"/>
          <w:szCs w:val="20"/>
        </w:rPr>
        <w:t>Kanisius.</w:t>
      </w:r>
      <w:proofErr w:type="gramEnd"/>
      <w:r>
        <w:rPr>
          <w:rFonts w:ascii="Tahoma" w:hAnsi="Tahoma" w:cs="Tahoma"/>
          <w:sz w:val="20"/>
          <w:szCs w:val="20"/>
        </w:rPr>
        <w:t xml:space="preserve"> </w:t>
      </w:r>
      <w:proofErr w:type="gramStart"/>
      <w:r>
        <w:rPr>
          <w:rFonts w:ascii="Tahoma" w:hAnsi="Tahoma" w:cs="Tahoma"/>
          <w:sz w:val="20"/>
          <w:szCs w:val="20"/>
        </w:rPr>
        <w:t>Yogyakarta.</w:t>
      </w:r>
      <w:proofErr w:type="gramEnd"/>
    </w:p>
    <w:p w:rsidR="00A352DB" w:rsidRDefault="00A352DB" w:rsidP="00A352DB">
      <w:pPr>
        <w:spacing w:line="240" w:lineRule="auto"/>
        <w:ind w:left="567" w:right="-17" w:hanging="567"/>
        <w:rPr>
          <w:rFonts w:ascii="Tahoma" w:hAnsi="Tahoma" w:cs="Tahoma"/>
          <w:sz w:val="20"/>
          <w:szCs w:val="20"/>
        </w:rPr>
      </w:pPr>
      <w:r>
        <w:rPr>
          <w:rFonts w:ascii="Tahoma" w:hAnsi="Tahoma" w:cs="Tahoma"/>
          <w:sz w:val="20"/>
          <w:szCs w:val="20"/>
        </w:rPr>
        <w:t xml:space="preserve">Mahdiyah Dede, 2015. </w:t>
      </w:r>
      <w:proofErr w:type="gramStart"/>
      <w:r>
        <w:rPr>
          <w:rFonts w:ascii="Tahoma" w:hAnsi="Tahoma" w:cs="Tahoma"/>
          <w:sz w:val="20"/>
          <w:szCs w:val="20"/>
        </w:rPr>
        <w:t>Isolasi Bakteri Dari Tanah Gambut Penghasil Enzim Protease.</w:t>
      </w:r>
      <w:proofErr w:type="gramEnd"/>
      <w:r>
        <w:rPr>
          <w:rFonts w:ascii="Tahoma" w:hAnsi="Tahoma" w:cs="Tahoma"/>
          <w:sz w:val="20"/>
          <w:szCs w:val="20"/>
        </w:rPr>
        <w:t xml:space="preserve"> Jurnal Pharmascience, Vol 2, No. 2, Oktober 2015, hal: 71 - 79</w:t>
      </w:r>
    </w:p>
    <w:p w:rsidR="00A352DB" w:rsidRDefault="00A352DB" w:rsidP="00A352DB">
      <w:pPr>
        <w:spacing w:line="240" w:lineRule="auto"/>
        <w:ind w:left="567" w:right="-17" w:hanging="567"/>
        <w:rPr>
          <w:rFonts w:ascii="Tahoma" w:hAnsi="Tahoma" w:cs="Tahoma"/>
          <w:sz w:val="20"/>
          <w:szCs w:val="20"/>
        </w:rPr>
      </w:pPr>
      <w:r>
        <w:rPr>
          <w:rFonts w:ascii="Tahoma" w:hAnsi="Tahoma" w:cs="Tahoma"/>
          <w:sz w:val="20"/>
          <w:szCs w:val="20"/>
        </w:rPr>
        <w:t xml:space="preserve">Masganti, Khairil Anwar, Maulia Aries Susanti, 2017. </w:t>
      </w:r>
      <w:proofErr w:type="gramStart"/>
      <w:r>
        <w:rPr>
          <w:rFonts w:ascii="Tahoma" w:hAnsi="Tahoma" w:cs="Tahoma"/>
          <w:sz w:val="20"/>
          <w:szCs w:val="20"/>
        </w:rPr>
        <w:t>Potensi dan Pemanfaatan Lahan Gambut Dangkal untuk Pertanian.</w:t>
      </w:r>
      <w:proofErr w:type="gramEnd"/>
      <w:r>
        <w:rPr>
          <w:rFonts w:ascii="Tahoma" w:hAnsi="Tahoma" w:cs="Tahoma"/>
          <w:sz w:val="20"/>
          <w:szCs w:val="20"/>
        </w:rPr>
        <w:t xml:space="preserve"> Jurnal Sumberdaya Lahan Vol. 11 No. 1, Juli 2017; 43-52</w:t>
      </w:r>
    </w:p>
    <w:p w:rsidR="00A352DB" w:rsidRDefault="00A352DB" w:rsidP="00A352DB">
      <w:pPr>
        <w:pStyle w:val="Heading3"/>
        <w:shd w:val="clear" w:color="auto" w:fill="FBFBF3"/>
        <w:spacing w:before="0" w:after="60" w:line="240" w:lineRule="auto"/>
        <w:ind w:left="567" w:right="-17" w:hanging="567"/>
        <w:rPr>
          <w:rFonts w:ascii="Tahoma" w:hAnsi="Tahoma" w:cs="Tahoma"/>
          <w:b w:val="0"/>
          <w:bCs w:val="0"/>
          <w:color w:val="auto"/>
        </w:rPr>
      </w:pPr>
      <w:r>
        <w:rPr>
          <w:rStyle w:val="Emphasis"/>
          <w:rFonts w:ascii="Tahoma" w:hAnsi="Tahoma" w:cs="Tahoma"/>
          <w:b w:val="0"/>
          <w:color w:val="auto"/>
          <w:shd w:val="clear" w:color="auto" w:fill="FBFBF3"/>
        </w:rPr>
        <w:lastRenderedPageBreak/>
        <w:t xml:space="preserve">Pratiwi Etty, Taruna D. Satwika, Fahmuddin Agus, 2018. </w:t>
      </w:r>
      <w:proofErr w:type="gramStart"/>
      <w:r>
        <w:rPr>
          <w:rFonts w:ascii="Tahoma" w:hAnsi="Tahoma" w:cs="Tahoma"/>
          <w:b w:val="0"/>
          <w:bCs w:val="0"/>
          <w:color w:val="auto"/>
        </w:rPr>
        <w:t>Keanekaragaman Mikrob Tanah Gambut di Bawah Hutan dan di Bawah Perkebunan Sawit di Provinsi Jambi.</w:t>
      </w:r>
      <w:proofErr w:type="gramEnd"/>
      <w:r>
        <w:rPr>
          <w:rFonts w:ascii="Tahoma" w:hAnsi="Tahoma" w:cs="Tahoma"/>
          <w:b w:val="0"/>
          <w:bCs w:val="0"/>
          <w:color w:val="auto"/>
        </w:rPr>
        <w:t xml:space="preserve"> Jurnal tanah dan iklim Volume 42 (1) hal 69-78</w:t>
      </w:r>
    </w:p>
    <w:p w:rsidR="00A352DB" w:rsidRDefault="00A352DB" w:rsidP="00A352DB">
      <w:pPr>
        <w:pStyle w:val="Heading3"/>
        <w:shd w:val="clear" w:color="auto" w:fill="FBFBF3"/>
        <w:spacing w:before="0" w:after="60" w:line="240" w:lineRule="auto"/>
        <w:ind w:left="567" w:right="-17" w:hanging="567"/>
        <w:rPr>
          <w:rFonts w:ascii="Tahoma" w:hAnsi="Tahoma" w:cs="Tahoma"/>
          <w:b w:val="0"/>
          <w:color w:val="auto"/>
        </w:rPr>
      </w:pPr>
      <w:r>
        <w:rPr>
          <w:rFonts w:ascii="Tahoma" w:hAnsi="Tahoma" w:cs="Tahoma"/>
          <w:b w:val="0"/>
          <w:bCs w:val="0"/>
          <w:color w:val="auto"/>
        </w:rPr>
        <w:t xml:space="preserve">Rohyani, </w:t>
      </w:r>
      <w:r>
        <w:rPr>
          <w:rFonts w:ascii="Tahoma" w:hAnsi="Tahoma" w:cs="Tahoma"/>
          <w:b w:val="0"/>
          <w:color w:val="auto"/>
        </w:rPr>
        <w:t xml:space="preserve">Delita Zul, Bernadeta Leni Fibrianti, 2014. </w:t>
      </w:r>
      <w:proofErr w:type="gramStart"/>
      <w:r>
        <w:rPr>
          <w:rFonts w:ascii="Tahoma" w:hAnsi="Tahoma" w:cs="Tahoma"/>
          <w:b w:val="0"/>
          <w:color w:val="auto"/>
        </w:rPr>
        <w:t>Isolasi Bakteri Indigenus yang Potensial Sebagai Agen Biofertilizer Asal Tanah Gambut di Kawasan Zamrud dan Taman Nasional Tesso Nilo, Riau.</w:t>
      </w:r>
      <w:proofErr w:type="gramEnd"/>
      <w:r>
        <w:rPr>
          <w:rFonts w:ascii="Tahoma" w:hAnsi="Tahoma" w:cs="Tahoma"/>
          <w:b w:val="0"/>
          <w:color w:val="auto"/>
        </w:rPr>
        <w:t xml:space="preserve"> </w:t>
      </w:r>
      <w:proofErr w:type="gramStart"/>
      <w:r>
        <w:rPr>
          <w:rFonts w:ascii="Tahoma" w:hAnsi="Tahoma" w:cs="Tahoma"/>
          <w:b w:val="0"/>
          <w:color w:val="auto"/>
        </w:rPr>
        <w:t>JOM FMIPA Volume 1 No.2 Oktober 2014.</w:t>
      </w:r>
      <w:proofErr w:type="gramEnd"/>
      <w:r>
        <w:rPr>
          <w:rFonts w:ascii="Tahoma" w:hAnsi="Tahoma" w:cs="Tahoma"/>
          <w:b w:val="0"/>
          <w:color w:val="auto"/>
        </w:rPr>
        <w:t xml:space="preserve"> Halaman 417-429</w:t>
      </w:r>
    </w:p>
    <w:p w:rsidR="00A352DB" w:rsidRDefault="00A352DB" w:rsidP="00A352DB">
      <w:pPr>
        <w:widowControl w:val="0"/>
        <w:autoSpaceDE w:val="0"/>
        <w:autoSpaceDN w:val="0"/>
        <w:adjustRightInd w:val="0"/>
        <w:spacing w:line="240" w:lineRule="auto"/>
        <w:ind w:left="567" w:hanging="567"/>
        <w:rPr>
          <w:rFonts w:ascii="Tahoma" w:hAnsi="Tahoma" w:cs="Tahoma"/>
          <w:sz w:val="20"/>
          <w:szCs w:val="20"/>
        </w:rPr>
      </w:pPr>
      <w:r>
        <w:rPr>
          <w:rFonts w:ascii="Tahoma" w:hAnsi="Tahoma" w:cs="Tahoma"/>
          <w:sz w:val="20"/>
          <w:szCs w:val="20"/>
        </w:rPr>
        <w:t xml:space="preserve">Wahyunto, </w:t>
      </w:r>
      <w:proofErr w:type="gramStart"/>
      <w:r>
        <w:rPr>
          <w:rFonts w:ascii="Tahoma" w:hAnsi="Tahoma" w:cs="Tahoma"/>
          <w:sz w:val="20"/>
          <w:szCs w:val="20"/>
        </w:rPr>
        <w:t>Dwi</w:t>
      </w:r>
      <w:proofErr w:type="gramEnd"/>
      <w:r>
        <w:rPr>
          <w:rFonts w:ascii="Tahoma" w:hAnsi="Tahoma" w:cs="Tahoma"/>
          <w:sz w:val="20"/>
          <w:szCs w:val="20"/>
        </w:rPr>
        <w:t xml:space="preserve"> Kuntjoro, Tuti Sugiarti dan Jianto. </w:t>
      </w:r>
      <w:proofErr w:type="gramStart"/>
      <w:r>
        <w:rPr>
          <w:rFonts w:ascii="Tahoma" w:hAnsi="Tahoma" w:cs="Tahoma"/>
          <w:sz w:val="20"/>
          <w:szCs w:val="20"/>
        </w:rPr>
        <w:t>2013. Lahan Gambut di Kabupaten Kapuas Hulu, dan Potensinya untuk Pertanian.</w:t>
      </w:r>
      <w:proofErr w:type="gramEnd"/>
      <w:r>
        <w:rPr>
          <w:rFonts w:ascii="Tahoma" w:hAnsi="Tahoma" w:cs="Tahoma"/>
          <w:sz w:val="20"/>
          <w:szCs w:val="20"/>
        </w:rPr>
        <w:t xml:space="preserve"> Badan Litbang Pertanian Kementerian Pertanian. Jakarta. </w:t>
      </w:r>
    </w:p>
    <w:p w:rsidR="00A352DB" w:rsidRDefault="00A352DB" w:rsidP="00A352DB">
      <w:pPr>
        <w:spacing w:line="240" w:lineRule="auto"/>
        <w:ind w:left="567" w:hanging="567"/>
        <w:rPr>
          <w:rFonts w:ascii="Tahoma" w:hAnsi="Tahoma" w:cs="Tahoma"/>
          <w:sz w:val="20"/>
          <w:szCs w:val="20"/>
          <w:lang w:val="it-IT"/>
        </w:rPr>
      </w:pPr>
      <w:r>
        <w:rPr>
          <w:rFonts w:ascii="Tahoma" w:hAnsi="Tahoma" w:cs="Tahoma"/>
          <w:noProof/>
          <w:sz w:val="20"/>
          <w:szCs w:val="20"/>
        </w:rPr>
        <w:t xml:space="preserve">Yuliani, N. (2014) Pendahuluan Fungsi Lahan Gambut. </w:t>
      </w:r>
      <w:r>
        <w:rPr>
          <w:rFonts w:ascii="Tahoma" w:hAnsi="Tahoma" w:cs="Tahoma"/>
          <w:i/>
          <w:iCs/>
          <w:noProof/>
          <w:sz w:val="20"/>
          <w:szCs w:val="20"/>
        </w:rPr>
        <w:t>Prosiding Seminar Nasional Inovasi Teknologi Pertanian Spesifik Lokasi</w:t>
      </w:r>
      <w:r>
        <w:rPr>
          <w:rFonts w:ascii="Tahoma" w:hAnsi="Tahoma" w:cs="Tahoma"/>
          <w:noProof/>
          <w:sz w:val="20"/>
          <w:szCs w:val="20"/>
        </w:rPr>
        <w:t>. Volume (4), 361–373. Available from: http://kalsel.litbang.pertanian.go.id/ind/images/pdf/semnas2014/41_nurmili.pdf</w:t>
      </w:r>
    </w:p>
    <w:p w:rsidR="00A352DB" w:rsidRDefault="00A352DB" w:rsidP="00A352DB">
      <w:pPr>
        <w:spacing w:line="240" w:lineRule="auto"/>
        <w:ind w:left="567" w:hanging="567"/>
        <w:rPr>
          <w:rFonts w:ascii="Tahoma" w:hAnsi="Tahoma" w:cs="Tahoma"/>
          <w:sz w:val="20"/>
          <w:szCs w:val="20"/>
        </w:rPr>
      </w:pPr>
    </w:p>
    <w:p w:rsidR="00A352DB" w:rsidRDefault="00A352DB" w:rsidP="00A352DB">
      <w:pPr>
        <w:autoSpaceDE w:val="0"/>
        <w:autoSpaceDN w:val="0"/>
        <w:adjustRightInd w:val="0"/>
        <w:spacing w:line="240" w:lineRule="auto"/>
        <w:ind w:left="851" w:hanging="851"/>
        <w:rPr>
          <w:rFonts w:ascii="Tahoma" w:hAnsi="Tahoma" w:cs="Tahoma"/>
          <w:sz w:val="20"/>
          <w:szCs w:val="20"/>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left"/>
        <w:rPr>
          <w:rFonts w:ascii="Tahoma" w:hAnsi="Tahoma" w:cs="Tahoma"/>
          <w:b/>
          <w:sz w:val="28"/>
          <w:szCs w:val="28"/>
        </w:rPr>
        <w:sectPr w:rsidR="00A352DB">
          <w:type w:val="continuous"/>
          <w:pgSz w:w="11907" w:h="16840"/>
          <w:pgMar w:top="1134" w:right="1134" w:bottom="1134" w:left="1843" w:header="720" w:footer="420" w:gutter="0"/>
          <w:cols w:num="2" w:space="283"/>
        </w:sect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A352DB" w:rsidRDefault="00A352DB" w:rsidP="00A352DB">
      <w:pPr>
        <w:spacing w:line="240" w:lineRule="auto"/>
        <w:jc w:val="center"/>
        <w:rPr>
          <w:rFonts w:ascii="Tahoma" w:hAnsi="Tahoma" w:cs="Tahoma"/>
          <w:b/>
          <w:sz w:val="28"/>
          <w:szCs w:val="28"/>
        </w:rPr>
      </w:pPr>
    </w:p>
    <w:p w:rsidR="006C4924" w:rsidRDefault="006C4924">
      <w:bookmarkStart w:id="1" w:name="_GoBack"/>
      <w:bookmarkEnd w:id="1"/>
    </w:p>
    <w:sectPr w:rsidR="006C4924">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User" w:date="2020-09-07T12:35:00Z" w:initials="U">
    <w:p w:rsidR="00A352DB" w:rsidRDefault="00A352DB" w:rsidP="00A352DB">
      <w:pPr>
        <w:pStyle w:val="CommentText"/>
      </w:pPr>
      <w:r>
        <w:rPr>
          <w:rStyle w:val="CommentReference"/>
        </w:rPr>
        <w:annotationRef/>
      </w:r>
      <w:r>
        <w:t>Beda dg table 1, tlg dicek ulang</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40DDA"/>
    <w:multiLevelType w:val="hybridMultilevel"/>
    <w:tmpl w:val="E78EB294"/>
    <w:lvl w:ilvl="0" w:tplc="BA34EEEE">
      <w:start w:val="1"/>
      <w:numFmt w:val="lowerLetter"/>
      <w:lvlText w:val="%1."/>
      <w:lvlJc w:val="left"/>
      <w:pPr>
        <w:ind w:left="1069" w:hanging="360"/>
      </w:pPr>
      <w:rPr>
        <w:rFonts w:cs="Times New Roman"/>
      </w:rPr>
    </w:lvl>
    <w:lvl w:ilvl="1" w:tplc="04090019">
      <w:start w:val="1"/>
      <w:numFmt w:val="lowerLetter"/>
      <w:lvlText w:val="%2."/>
      <w:lvlJc w:val="left"/>
      <w:pPr>
        <w:ind w:left="1789" w:hanging="360"/>
      </w:pPr>
      <w:rPr>
        <w:rFonts w:cs="Times New Roman"/>
      </w:rPr>
    </w:lvl>
    <w:lvl w:ilvl="2" w:tplc="0409001B">
      <w:start w:val="1"/>
      <w:numFmt w:val="lowerRoman"/>
      <w:lvlText w:val="%3."/>
      <w:lvlJc w:val="right"/>
      <w:pPr>
        <w:ind w:left="2509" w:hanging="180"/>
      </w:pPr>
      <w:rPr>
        <w:rFonts w:cs="Times New Roman"/>
      </w:rPr>
    </w:lvl>
    <w:lvl w:ilvl="3" w:tplc="0409000F">
      <w:start w:val="1"/>
      <w:numFmt w:val="decimal"/>
      <w:lvlText w:val="%4."/>
      <w:lvlJc w:val="left"/>
      <w:pPr>
        <w:ind w:left="3229" w:hanging="360"/>
      </w:pPr>
      <w:rPr>
        <w:rFonts w:cs="Times New Roman"/>
      </w:rPr>
    </w:lvl>
    <w:lvl w:ilvl="4" w:tplc="04090019">
      <w:start w:val="1"/>
      <w:numFmt w:val="lowerLetter"/>
      <w:lvlText w:val="%5."/>
      <w:lvlJc w:val="left"/>
      <w:pPr>
        <w:ind w:left="3949" w:hanging="360"/>
      </w:pPr>
      <w:rPr>
        <w:rFonts w:cs="Times New Roman"/>
      </w:rPr>
    </w:lvl>
    <w:lvl w:ilvl="5" w:tplc="0409001B">
      <w:start w:val="1"/>
      <w:numFmt w:val="lowerRoman"/>
      <w:lvlText w:val="%6."/>
      <w:lvlJc w:val="right"/>
      <w:pPr>
        <w:ind w:left="4669" w:hanging="180"/>
      </w:pPr>
      <w:rPr>
        <w:rFonts w:cs="Times New Roman"/>
      </w:rPr>
    </w:lvl>
    <w:lvl w:ilvl="6" w:tplc="0409000F">
      <w:start w:val="1"/>
      <w:numFmt w:val="decimal"/>
      <w:lvlText w:val="%7."/>
      <w:lvlJc w:val="left"/>
      <w:pPr>
        <w:ind w:left="5389" w:hanging="360"/>
      </w:pPr>
      <w:rPr>
        <w:rFonts w:cs="Times New Roman"/>
      </w:rPr>
    </w:lvl>
    <w:lvl w:ilvl="7" w:tplc="04090019">
      <w:start w:val="1"/>
      <w:numFmt w:val="lowerLetter"/>
      <w:lvlText w:val="%8."/>
      <w:lvlJc w:val="left"/>
      <w:pPr>
        <w:ind w:left="6109" w:hanging="360"/>
      </w:pPr>
      <w:rPr>
        <w:rFonts w:cs="Times New Roman"/>
      </w:rPr>
    </w:lvl>
    <w:lvl w:ilvl="8" w:tplc="0409001B">
      <w:start w:val="1"/>
      <w:numFmt w:val="lowerRoman"/>
      <w:lvlText w:val="%9."/>
      <w:lvlJc w:val="right"/>
      <w:pPr>
        <w:ind w:left="6829" w:hanging="180"/>
      </w:pPr>
      <w:rPr>
        <w:rFonts w:cs="Times New Roman"/>
      </w:rPr>
    </w:lvl>
  </w:abstractNum>
  <w:abstractNum w:abstractNumId="1">
    <w:nsid w:val="49EC2AF3"/>
    <w:multiLevelType w:val="hybridMultilevel"/>
    <w:tmpl w:val="6B447C9C"/>
    <w:lvl w:ilvl="0" w:tplc="EEEC59D2">
      <w:start w:val="1"/>
      <w:numFmt w:val="decimal"/>
      <w:lvlText w:val="%1."/>
      <w:lvlJc w:val="left"/>
      <w:pPr>
        <w:ind w:left="720" w:hanging="360"/>
      </w:pPr>
      <w:rPr>
        <w:rFonts w:cs="Times New Roman"/>
        <w:b/>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52DB"/>
    <w:rsid w:val="006C4924"/>
    <w:rsid w:val="00A352DB"/>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52DB"/>
    <w:pPr>
      <w:spacing w:after="0" w:line="360" w:lineRule="auto"/>
      <w:jc w:val="both"/>
    </w:pPr>
    <w:rPr>
      <w:rFonts w:ascii="Calibri" w:eastAsia="Times New Roman" w:hAnsi="Calibri" w:cs="Times New Roman"/>
      <w:lang w:val="en-US"/>
    </w:rPr>
  </w:style>
  <w:style w:type="paragraph" w:styleId="Heading3">
    <w:name w:val="heading 3"/>
    <w:basedOn w:val="Normal"/>
    <w:next w:val="Normal"/>
    <w:link w:val="Heading3Char"/>
    <w:uiPriority w:val="9"/>
    <w:semiHidden/>
    <w:unhideWhenUsed/>
    <w:qFormat/>
    <w:rsid w:val="00A352DB"/>
    <w:pPr>
      <w:keepNext/>
      <w:keepLines/>
      <w:spacing w:before="200"/>
      <w:outlineLvl w:val="2"/>
    </w:pPr>
    <w:rPr>
      <w:rFonts w:ascii="Cambria" w:hAnsi="Cambria"/>
      <w:b/>
      <w:bCs/>
      <w:color w:val="4F81BD"/>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A352DB"/>
    <w:rPr>
      <w:rFonts w:ascii="Cambria" w:eastAsia="Times New Roman" w:hAnsi="Cambria" w:cs="Times New Roman"/>
      <w:b/>
      <w:bCs/>
      <w:color w:val="4F81BD"/>
      <w:sz w:val="20"/>
      <w:szCs w:val="20"/>
      <w:lang w:val="en-US"/>
    </w:rPr>
  </w:style>
  <w:style w:type="character" w:styleId="Hyperlink">
    <w:name w:val="Hyperlink"/>
    <w:basedOn w:val="DefaultParagraphFont"/>
    <w:uiPriority w:val="99"/>
    <w:semiHidden/>
    <w:unhideWhenUsed/>
    <w:qFormat/>
    <w:rsid w:val="00A352DB"/>
    <w:rPr>
      <w:rFonts w:ascii="Times New Roman" w:hAnsi="Times New Roman" w:cs="Times New Roman" w:hint="default"/>
      <w:color w:val="0000FF"/>
      <w:u w:val="single"/>
      <w14:textFill>
        <w14:solidFill>
          <w14:srgbClr w14:val="000000"/>
        </w14:solidFill>
      </w14:textFill>
    </w:rPr>
  </w:style>
  <w:style w:type="character" w:styleId="Emphasis">
    <w:name w:val="Emphasis"/>
    <w:basedOn w:val="DefaultParagraphFont"/>
    <w:uiPriority w:val="20"/>
    <w:qFormat/>
    <w:rsid w:val="00A352DB"/>
    <w:rPr>
      <w:rFonts w:ascii="Times New Roman" w:hAnsi="Times New Roman" w:cs="Times New Roman" w:hint="default"/>
      <w:i/>
      <w:iCs w:val="0"/>
    </w:rPr>
  </w:style>
  <w:style w:type="paragraph" w:styleId="CommentText">
    <w:name w:val="annotation text"/>
    <w:basedOn w:val="Normal"/>
    <w:link w:val="CommentTextChar"/>
    <w:uiPriority w:val="99"/>
    <w:semiHidden/>
    <w:unhideWhenUsed/>
    <w:rsid w:val="00A352DB"/>
    <w:rPr>
      <w:sz w:val="20"/>
      <w:szCs w:val="20"/>
    </w:rPr>
  </w:style>
  <w:style w:type="character" w:customStyle="1" w:styleId="CommentTextChar">
    <w:name w:val="Comment Text Char"/>
    <w:basedOn w:val="DefaultParagraphFont"/>
    <w:link w:val="CommentText"/>
    <w:uiPriority w:val="99"/>
    <w:semiHidden/>
    <w:rsid w:val="00A352DB"/>
    <w:rPr>
      <w:rFonts w:ascii="Calibri" w:eastAsia="Times New Roman" w:hAnsi="Calibri" w:cs="Times New Roman"/>
      <w:sz w:val="20"/>
      <w:szCs w:val="20"/>
      <w:lang w:val="en-US"/>
    </w:rPr>
  </w:style>
  <w:style w:type="character" w:customStyle="1" w:styleId="ListParagraphChar">
    <w:name w:val="List Paragraph Char"/>
    <w:link w:val="ListParagraph"/>
    <w:uiPriority w:val="1"/>
    <w:locked/>
    <w:rsid w:val="00A352DB"/>
    <w:rPr>
      <w:rFonts w:ascii="Times New Roman" w:hAnsi="Times New Roman" w:cs="Times New Roman"/>
      <w:lang w:val="en-US"/>
    </w:rPr>
  </w:style>
  <w:style w:type="paragraph" w:styleId="ListParagraph">
    <w:name w:val="List Paragraph"/>
    <w:basedOn w:val="Normal"/>
    <w:link w:val="ListParagraphChar"/>
    <w:uiPriority w:val="1"/>
    <w:qFormat/>
    <w:rsid w:val="00A352DB"/>
    <w:pPr>
      <w:ind w:left="720"/>
      <w:contextualSpacing/>
    </w:pPr>
    <w:rPr>
      <w:rFonts w:ascii="Times New Roman" w:eastAsiaTheme="minorHAnsi" w:hAnsi="Times New Roman"/>
    </w:rPr>
  </w:style>
  <w:style w:type="character" w:styleId="CommentReference">
    <w:name w:val="annotation reference"/>
    <w:basedOn w:val="DefaultParagraphFont"/>
    <w:uiPriority w:val="99"/>
    <w:semiHidden/>
    <w:unhideWhenUsed/>
    <w:rsid w:val="00A352DB"/>
    <w:rPr>
      <w:rFonts w:ascii="Times New Roman" w:hAnsi="Times New Roman" w:cs="Times New Roman" w:hint="default"/>
      <w:sz w:val="16"/>
    </w:rPr>
  </w:style>
  <w:style w:type="table" w:styleId="LightGrid-Accent3">
    <w:name w:val="Light Grid Accent 3"/>
    <w:basedOn w:val="TableNormal"/>
    <w:uiPriority w:val="62"/>
    <w:rsid w:val="00A352DB"/>
    <w:pPr>
      <w:spacing w:after="0" w:line="240" w:lineRule="auto"/>
    </w:pPr>
    <w:rPr>
      <w:rFonts w:ascii="Calibri" w:eastAsia="Times New Roman" w:hAnsi="Calibri" w:cs="Calibri"/>
      <w:sz w:val="20"/>
      <w:szCs w:val="20"/>
      <w:lang w:val="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Lines="0" w:before="0" w:beforeAutospacing="0" w:afterLines="0" w:after="0" w:afterAutospacing="0"/>
      </w:pPr>
      <w:rPr>
        <w:rFonts w:asciiTheme="majorHAnsi" w:eastAsiaTheme="majorEastAsia" w:hAnsiTheme="majorHAnsi" w:cs="Times New Roman"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0" w:beforeAutospacing="0" w:afterLines="0" w:after="0" w:afterAutospacing="0"/>
      </w:pPr>
      <w:rPr>
        <w:rFonts w:asciiTheme="majorHAnsi" w:eastAsiaTheme="majorEastAsia" w:hAnsiTheme="majorHAnsi" w:cs="Times New Roman"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imes New Roman" w:hint="default"/>
        <w:b/>
        <w:bCs/>
      </w:rPr>
    </w:tblStylePr>
    <w:tblStylePr w:type="lastCol">
      <w:rPr>
        <w:rFonts w:asciiTheme="majorHAnsi" w:eastAsiaTheme="majorEastAsia" w:hAnsiTheme="majorHAnsi" w:cs="Times New Roman"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rPr>
        <w:rFonts w:ascii="Calibri" w:hAnsi="Calibri" w:cs="Calibri" w:hint="default"/>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rPr>
        <w:rFonts w:ascii="Calibri" w:hAnsi="Calibri" w:cs="Calibri" w:hint="default"/>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rPr>
        <w:rFonts w:ascii="Calibri" w:hAnsi="Calibri" w:cs="Calibri" w:hint="default"/>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BalloonText">
    <w:name w:val="Balloon Text"/>
    <w:basedOn w:val="Normal"/>
    <w:link w:val="BalloonTextChar"/>
    <w:uiPriority w:val="99"/>
    <w:semiHidden/>
    <w:unhideWhenUsed/>
    <w:rsid w:val="00A352D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52DB"/>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52DB"/>
    <w:pPr>
      <w:spacing w:after="0" w:line="360" w:lineRule="auto"/>
      <w:jc w:val="both"/>
    </w:pPr>
    <w:rPr>
      <w:rFonts w:ascii="Calibri" w:eastAsia="Times New Roman" w:hAnsi="Calibri" w:cs="Times New Roman"/>
      <w:lang w:val="en-US"/>
    </w:rPr>
  </w:style>
  <w:style w:type="paragraph" w:styleId="Heading3">
    <w:name w:val="heading 3"/>
    <w:basedOn w:val="Normal"/>
    <w:next w:val="Normal"/>
    <w:link w:val="Heading3Char"/>
    <w:uiPriority w:val="9"/>
    <w:semiHidden/>
    <w:unhideWhenUsed/>
    <w:qFormat/>
    <w:rsid w:val="00A352DB"/>
    <w:pPr>
      <w:keepNext/>
      <w:keepLines/>
      <w:spacing w:before="200"/>
      <w:outlineLvl w:val="2"/>
    </w:pPr>
    <w:rPr>
      <w:rFonts w:ascii="Cambria" w:hAnsi="Cambria"/>
      <w:b/>
      <w:bCs/>
      <w:color w:val="4F81BD"/>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A352DB"/>
    <w:rPr>
      <w:rFonts w:ascii="Cambria" w:eastAsia="Times New Roman" w:hAnsi="Cambria" w:cs="Times New Roman"/>
      <w:b/>
      <w:bCs/>
      <w:color w:val="4F81BD"/>
      <w:sz w:val="20"/>
      <w:szCs w:val="20"/>
      <w:lang w:val="en-US"/>
    </w:rPr>
  </w:style>
  <w:style w:type="character" w:styleId="Hyperlink">
    <w:name w:val="Hyperlink"/>
    <w:basedOn w:val="DefaultParagraphFont"/>
    <w:uiPriority w:val="99"/>
    <w:semiHidden/>
    <w:unhideWhenUsed/>
    <w:qFormat/>
    <w:rsid w:val="00A352DB"/>
    <w:rPr>
      <w:rFonts w:ascii="Times New Roman" w:hAnsi="Times New Roman" w:cs="Times New Roman" w:hint="default"/>
      <w:color w:val="0000FF"/>
      <w:u w:val="single"/>
      <w14:textFill>
        <w14:solidFill>
          <w14:srgbClr w14:val="000000"/>
        </w14:solidFill>
      </w14:textFill>
    </w:rPr>
  </w:style>
  <w:style w:type="character" w:styleId="Emphasis">
    <w:name w:val="Emphasis"/>
    <w:basedOn w:val="DefaultParagraphFont"/>
    <w:uiPriority w:val="20"/>
    <w:qFormat/>
    <w:rsid w:val="00A352DB"/>
    <w:rPr>
      <w:rFonts w:ascii="Times New Roman" w:hAnsi="Times New Roman" w:cs="Times New Roman" w:hint="default"/>
      <w:i/>
      <w:iCs w:val="0"/>
    </w:rPr>
  </w:style>
  <w:style w:type="paragraph" w:styleId="CommentText">
    <w:name w:val="annotation text"/>
    <w:basedOn w:val="Normal"/>
    <w:link w:val="CommentTextChar"/>
    <w:uiPriority w:val="99"/>
    <w:semiHidden/>
    <w:unhideWhenUsed/>
    <w:rsid w:val="00A352DB"/>
    <w:rPr>
      <w:sz w:val="20"/>
      <w:szCs w:val="20"/>
    </w:rPr>
  </w:style>
  <w:style w:type="character" w:customStyle="1" w:styleId="CommentTextChar">
    <w:name w:val="Comment Text Char"/>
    <w:basedOn w:val="DefaultParagraphFont"/>
    <w:link w:val="CommentText"/>
    <w:uiPriority w:val="99"/>
    <w:semiHidden/>
    <w:rsid w:val="00A352DB"/>
    <w:rPr>
      <w:rFonts w:ascii="Calibri" w:eastAsia="Times New Roman" w:hAnsi="Calibri" w:cs="Times New Roman"/>
      <w:sz w:val="20"/>
      <w:szCs w:val="20"/>
      <w:lang w:val="en-US"/>
    </w:rPr>
  </w:style>
  <w:style w:type="character" w:customStyle="1" w:styleId="ListParagraphChar">
    <w:name w:val="List Paragraph Char"/>
    <w:link w:val="ListParagraph"/>
    <w:uiPriority w:val="1"/>
    <w:locked/>
    <w:rsid w:val="00A352DB"/>
    <w:rPr>
      <w:rFonts w:ascii="Times New Roman" w:hAnsi="Times New Roman" w:cs="Times New Roman"/>
      <w:lang w:val="en-US"/>
    </w:rPr>
  </w:style>
  <w:style w:type="paragraph" w:styleId="ListParagraph">
    <w:name w:val="List Paragraph"/>
    <w:basedOn w:val="Normal"/>
    <w:link w:val="ListParagraphChar"/>
    <w:uiPriority w:val="1"/>
    <w:qFormat/>
    <w:rsid w:val="00A352DB"/>
    <w:pPr>
      <w:ind w:left="720"/>
      <w:contextualSpacing/>
    </w:pPr>
    <w:rPr>
      <w:rFonts w:ascii="Times New Roman" w:eastAsiaTheme="minorHAnsi" w:hAnsi="Times New Roman"/>
    </w:rPr>
  </w:style>
  <w:style w:type="character" w:styleId="CommentReference">
    <w:name w:val="annotation reference"/>
    <w:basedOn w:val="DefaultParagraphFont"/>
    <w:uiPriority w:val="99"/>
    <w:semiHidden/>
    <w:unhideWhenUsed/>
    <w:rsid w:val="00A352DB"/>
    <w:rPr>
      <w:rFonts w:ascii="Times New Roman" w:hAnsi="Times New Roman" w:cs="Times New Roman" w:hint="default"/>
      <w:sz w:val="16"/>
    </w:rPr>
  </w:style>
  <w:style w:type="table" w:styleId="LightGrid-Accent3">
    <w:name w:val="Light Grid Accent 3"/>
    <w:basedOn w:val="TableNormal"/>
    <w:uiPriority w:val="62"/>
    <w:rsid w:val="00A352DB"/>
    <w:pPr>
      <w:spacing w:after="0" w:line="240" w:lineRule="auto"/>
    </w:pPr>
    <w:rPr>
      <w:rFonts w:ascii="Calibri" w:eastAsia="Times New Roman" w:hAnsi="Calibri" w:cs="Calibri"/>
      <w:sz w:val="20"/>
      <w:szCs w:val="20"/>
      <w:lang w:val="en-US"/>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Lines="0" w:before="0" w:beforeAutospacing="0" w:afterLines="0" w:after="0" w:afterAutospacing="0"/>
      </w:pPr>
      <w:rPr>
        <w:rFonts w:asciiTheme="majorHAnsi" w:eastAsiaTheme="majorEastAsia" w:hAnsiTheme="majorHAnsi" w:cs="Times New Roman"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0" w:beforeAutospacing="0" w:afterLines="0" w:after="0" w:afterAutospacing="0"/>
      </w:pPr>
      <w:rPr>
        <w:rFonts w:asciiTheme="majorHAnsi" w:eastAsiaTheme="majorEastAsia" w:hAnsiTheme="majorHAnsi" w:cs="Times New Roman"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imes New Roman" w:hint="default"/>
        <w:b/>
        <w:bCs/>
      </w:rPr>
    </w:tblStylePr>
    <w:tblStylePr w:type="lastCol">
      <w:rPr>
        <w:rFonts w:asciiTheme="majorHAnsi" w:eastAsiaTheme="majorEastAsia" w:hAnsiTheme="majorHAnsi" w:cs="Times New Roman"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rPr>
        <w:rFonts w:ascii="Calibri" w:hAnsi="Calibri" w:cs="Calibri" w:hint="default"/>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rPr>
        <w:rFonts w:ascii="Calibri" w:hAnsi="Calibri" w:cs="Calibri" w:hint="default"/>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rPr>
        <w:rFonts w:ascii="Calibri" w:hAnsi="Calibri" w:cs="Calibri" w:hint="default"/>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BalloonText">
    <w:name w:val="Balloon Text"/>
    <w:basedOn w:val="Normal"/>
    <w:link w:val="BalloonTextChar"/>
    <w:uiPriority w:val="99"/>
    <w:semiHidden/>
    <w:unhideWhenUsed/>
    <w:rsid w:val="00A352D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52DB"/>
    <w:rPr>
      <w:rFonts w:ascii="Tahoma" w:eastAsia="Times New Roman"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5380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microsoft.com/office/2007/relationships/stylesWithEffects" Target="stylesWithEffect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sciencedirect.com/science/article/pii/%20S2211601X15000486" TargetMode="External"/><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2503</Words>
  <Characters>14269</Characters>
  <Application>Microsoft Office Word</Application>
  <DocSecurity>0</DocSecurity>
  <Lines>118</Lines>
  <Paragraphs>33</Paragraphs>
  <ScaleCrop>false</ScaleCrop>
  <Company/>
  <LinksUpToDate>false</LinksUpToDate>
  <CharactersWithSpaces>16739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2020-09-07T05:34:00Z</dcterms:created>
  <dcterms:modified xsi:type="dcterms:W3CDTF">2020-09-07T05:35:00Z</dcterms:modified>
</cp:coreProperties>
</file>