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55E48" w14:textId="77777777" w:rsidR="00807CEC" w:rsidRPr="00B84766" w:rsidRDefault="00D2336B">
      <w:pPr>
        <w:spacing w:before="180"/>
        <w:ind w:left="390"/>
        <w:rPr>
          <w:b/>
        </w:rPr>
      </w:pPr>
      <w:r w:rsidRPr="00B84766">
        <w:rPr>
          <w:b/>
          <w:noProof/>
        </w:rPr>
        <w:drawing>
          <wp:anchor distT="0" distB="0" distL="0" distR="0" simplePos="0" relativeHeight="15730176" behindDoc="0" locked="0" layoutInCell="1" allowOverlap="1" wp14:anchorId="31BDC9CE" wp14:editId="58F3ACF7">
            <wp:simplePos x="0" y="0"/>
            <wp:positionH relativeFrom="page">
              <wp:posOffset>5673381</wp:posOffset>
            </wp:positionH>
            <wp:positionV relativeFrom="paragraph">
              <wp:posOffset>-2308</wp:posOffset>
            </wp:positionV>
            <wp:extent cx="1539651" cy="912898"/>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7" cstate="print"/>
                    <a:stretch>
                      <a:fillRect/>
                    </a:stretch>
                  </pic:blipFill>
                  <pic:spPr>
                    <a:xfrm>
                      <a:off x="0" y="0"/>
                      <a:ext cx="1539651" cy="912898"/>
                    </a:xfrm>
                    <a:prstGeom prst="rect">
                      <a:avLst/>
                    </a:prstGeom>
                  </pic:spPr>
                </pic:pic>
              </a:graphicData>
            </a:graphic>
          </wp:anchor>
        </w:drawing>
      </w:r>
      <w:r w:rsidRPr="00B84766">
        <w:rPr>
          <w:b/>
        </w:rPr>
        <w:t>Cirebon</w:t>
      </w:r>
      <w:r w:rsidRPr="00B84766">
        <w:rPr>
          <w:b/>
          <w:spacing w:val="-7"/>
        </w:rPr>
        <w:t xml:space="preserve"> </w:t>
      </w:r>
      <w:r w:rsidRPr="00B84766">
        <w:rPr>
          <w:b/>
        </w:rPr>
        <w:t>Annual</w:t>
      </w:r>
      <w:r w:rsidRPr="00B84766">
        <w:rPr>
          <w:b/>
          <w:spacing w:val="-5"/>
        </w:rPr>
        <w:t xml:space="preserve"> </w:t>
      </w:r>
      <w:r w:rsidRPr="00B84766">
        <w:rPr>
          <w:b/>
        </w:rPr>
        <w:t>Interdisciplinary</w:t>
      </w:r>
      <w:r w:rsidRPr="00B84766">
        <w:rPr>
          <w:b/>
          <w:spacing w:val="-5"/>
        </w:rPr>
        <w:t xml:space="preserve"> </w:t>
      </w:r>
      <w:r w:rsidRPr="00B84766">
        <w:rPr>
          <w:b/>
        </w:rPr>
        <w:t>International</w:t>
      </w:r>
      <w:r w:rsidRPr="00B84766">
        <w:rPr>
          <w:b/>
          <w:spacing w:val="-6"/>
        </w:rPr>
        <w:t xml:space="preserve"> </w:t>
      </w:r>
      <w:r w:rsidRPr="00B84766">
        <w:rPr>
          <w:b/>
        </w:rPr>
        <w:t>Conference</w:t>
      </w:r>
      <w:r w:rsidRPr="00B84766">
        <w:rPr>
          <w:b/>
          <w:spacing w:val="-5"/>
        </w:rPr>
        <w:t xml:space="preserve"> </w:t>
      </w:r>
    </w:p>
    <w:p w14:paraId="221EC294" w14:textId="77777777" w:rsidR="00807CEC" w:rsidRPr="00B84766" w:rsidRDefault="00807CEC">
      <w:pPr>
        <w:pStyle w:val="BodyText"/>
        <w:ind w:left="0"/>
        <w:jc w:val="left"/>
        <w:rPr>
          <w:b/>
          <w:sz w:val="22"/>
          <w:szCs w:val="22"/>
        </w:rPr>
      </w:pPr>
    </w:p>
    <w:p w14:paraId="111B7A1D" w14:textId="77777777" w:rsidR="00807CEC" w:rsidRPr="00B84766" w:rsidRDefault="00807CEC">
      <w:pPr>
        <w:pStyle w:val="BodyText"/>
        <w:ind w:left="0"/>
        <w:jc w:val="left"/>
        <w:rPr>
          <w:b/>
          <w:sz w:val="22"/>
          <w:szCs w:val="22"/>
        </w:rPr>
      </w:pPr>
    </w:p>
    <w:p w14:paraId="662875E9" w14:textId="77777777" w:rsidR="00807CEC" w:rsidRPr="00B84766" w:rsidRDefault="00807CEC">
      <w:pPr>
        <w:pStyle w:val="BodyText"/>
        <w:ind w:left="0"/>
        <w:jc w:val="left"/>
        <w:rPr>
          <w:b/>
          <w:sz w:val="22"/>
          <w:szCs w:val="22"/>
        </w:rPr>
      </w:pPr>
    </w:p>
    <w:p w14:paraId="39406182" w14:textId="77777777" w:rsidR="00807CEC" w:rsidRPr="00B84766" w:rsidRDefault="00D2336B">
      <w:pPr>
        <w:pStyle w:val="BodyText"/>
        <w:spacing w:before="23"/>
        <w:ind w:left="0"/>
        <w:jc w:val="left"/>
        <w:rPr>
          <w:b/>
          <w:sz w:val="22"/>
          <w:szCs w:val="22"/>
        </w:rPr>
      </w:pPr>
      <w:r w:rsidRPr="00B84766">
        <w:rPr>
          <w:b/>
          <w:noProof/>
          <w:sz w:val="22"/>
          <w:szCs w:val="22"/>
        </w:rPr>
        <mc:AlternateContent>
          <mc:Choice Requires="wps">
            <w:drawing>
              <wp:anchor distT="0" distB="0" distL="0" distR="0" simplePos="0" relativeHeight="487587840" behindDoc="1" locked="0" layoutInCell="1" allowOverlap="1" wp14:anchorId="729B9702" wp14:editId="55FD2322">
                <wp:simplePos x="0" y="0"/>
                <wp:positionH relativeFrom="page">
                  <wp:posOffset>621030</wp:posOffset>
                </wp:positionH>
                <wp:positionV relativeFrom="paragraph">
                  <wp:posOffset>199222</wp:posOffset>
                </wp:positionV>
                <wp:extent cx="6531609" cy="635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31609" cy="6350"/>
                        </a:xfrm>
                        <a:custGeom>
                          <a:avLst/>
                          <a:gdLst/>
                          <a:ahLst/>
                          <a:cxnLst/>
                          <a:rect l="l" t="t" r="r" b="b"/>
                          <a:pathLst>
                            <a:path w="6531609" h="6350">
                              <a:moveTo>
                                <a:pt x="6531609" y="0"/>
                              </a:moveTo>
                              <a:lnTo>
                                <a:pt x="0" y="0"/>
                              </a:lnTo>
                              <a:lnTo>
                                <a:pt x="0" y="6350"/>
                              </a:lnTo>
                              <a:lnTo>
                                <a:pt x="6531609" y="6350"/>
                              </a:lnTo>
                              <a:lnTo>
                                <a:pt x="65316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5289352" id="Graphic 4" o:spid="_x0000_s1026" style="position:absolute;margin-left:48.9pt;margin-top:15.7pt;width:514.3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6531609,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" path="m6531609,l,,,6350r6531609,l6531609,xe" fillcolor="black" stroked="f">
                <v:path arrowok="t"/>
                <w10:wrap type="topAndBottom" anchorx="page"/>
              </v:shape>
            </w:pict>
          </mc:Fallback>
        </mc:AlternateContent>
      </w:r>
    </w:p>
    <w:p w14:paraId="75E98759" w14:textId="77777777" w:rsidR="00807CEC" w:rsidRPr="00B84766" w:rsidRDefault="00D2336B">
      <w:pPr>
        <w:spacing w:before="120"/>
        <w:ind w:left="348"/>
        <w:rPr>
          <w:b/>
        </w:rPr>
      </w:pPr>
      <w:r w:rsidRPr="00B84766">
        <w:rPr>
          <w:b/>
          <w:color w:val="FF0000"/>
        </w:rPr>
        <w:t>|</w:t>
      </w:r>
      <w:r w:rsidRPr="00B84766">
        <w:rPr>
          <w:b/>
          <w:color w:val="FF0000"/>
          <w:spacing w:val="-2"/>
        </w:rPr>
        <w:t xml:space="preserve"> </w:t>
      </w:r>
      <w:r w:rsidRPr="00B84766">
        <w:rPr>
          <w:b/>
        </w:rPr>
        <w:t>RESEARCH</w:t>
      </w:r>
      <w:r w:rsidRPr="00B84766">
        <w:rPr>
          <w:b/>
          <w:spacing w:val="-2"/>
        </w:rPr>
        <w:t xml:space="preserve"> ARTICLE</w:t>
      </w:r>
    </w:p>
    <w:p w14:paraId="20121177" w14:textId="328782C7" w:rsidR="00547672" w:rsidRDefault="00547672">
      <w:pPr>
        <w:pStyle w:val="Heading2"/>
        <w:ind w:left="287"/>
        <w:rPr>
          <w:sz w:val="22"/>
          <w:szCs w:val="22"/>
        </w:rPr>
      </w:pPr>
      <w:r w:rsidRPr="00547672">
        <w:rPr>
          <w:sz w:val="22"/>
          <w:szCs w:val="22"/>
        </w:rPr>
        <w:t xml:space="preserve">“Economic Loss Potential of Cherry Tomato Pest Attacks </w:t>
      </w:r>
      <w:r>
        <w:rPr>
          <w:sz w:val="22"/>
          <w:szCs w:val="22"/>
        </w:rPr>
        <w:t>b</w:t>
      </w:r>
      <w:r w:rsidRPr="00547672">
        <w:rPr>
          <w:sz w:val="22"/>
          <w:szCs w:val="22"/>
        </w:rPr>
        <w:t>ased on Light Trap Data in Lembang”</w:t>
      </w:r>
    </w:p>
    <w:p w14:paraId="763F70CE" w14:textId="44FF6203" w:rsidR="00807CEC" w:rsidRPr="00B84766" w:rsidRDefault="00B23F82">
      <w:pPr>
        <w:pStyle w:val="Heading2"/>
        <w:ind w:left="287"/>
        <w:rPr>
          <w:position w:val="6"/>
          <w:sz w:val="22"/>
          <w:szCs w:val="22"/>
        </w:rPr>
      </w:pPr>
      <w:r w:rsidRPr="00B84766">
        <w:rPr>
          <w:sz w:val="22"/>
          <w:szCs w:val="22"/>
        </w:rPr>
        <w:t>Author</w:t>
      </w:r>
      <w:r w:rsidR="00D2336B" w:rsidRPr="00B84766">
        <w:rPr>
          <w:position w:val="6"/>
          <w:sz w:val="22"/>
          <w:szCs w:val="22"/>
        </w:rPr>
        <w:t>1</w:t>
      </w:r>
      <w:r w:rsidR="00D2336B" w:rsidRPr="00B84766">
        <w:rPr>
          <w:sz w:val="22"/>
          <w:szCs w:val="22"/>
        </w:rPr>
        <w:t>,</w:t>
      </w:r>
      <w:r w:rsidR="00D2336B" w:rsidRPr="00B84766">
        <w:rPr>
          <w:spacing w:val="-4"/>
          <w:sz w:val="22"/>
          <w:szCs w:val="22"/>
        </w:rPr>
        <w:t xml:space="preserve"> </w:t>
      </w:r>
      <w:r w:rsidRPr="00B84766">
        <w:rPr>
          <w:sz w:val="22"/>
          <w:szCs w:val="22"/>
        </w:rPr>
        <w:t>Author</w:t>
      </w:r>
      <w:r w:rsidR="00D2336B" w:rsidRPr="00B84766">
        <w:rPr>
          <w:spacing w:val="-1"/>
          <w:sz w:val="22"/>
          <w:szCs w:val="22"/>
        </w:rPr>
        <w:t xml:space="preserve"> </w:t>
      </w:r>
      <w:r w:rsidR="00D2336B" w:rsidRPr="00B84766">
        <w:rPr>
          <w:position w:val="6"/>
          <w:sz w:val="22"/>
          <w:szCs w:val="22"/>
        </w:rPr>
        <w:t>2</w:t>
      </w:r>
      <w:r w:rsidR="00D2336B" w:rsidRPr="00B84766">
        <w:rPr>
          <w:sz w:val="22"/>
          <w:szCs w:val="22"/>
        </w:rPr>
        <w:t>,</w:t>
      </w:r>
      <w:r w:rsidR="00D2336B" w:rsidRPr="00B84766">
        <w:rPr>
          <w:spacing w:val="-3"/>
          <w:sz w:val="22"/>
          <w:szCs w:val="22"/>
        </w:rPr>
        <w:t xml:space="preserve"> </w:t>
      </w:r>
      <w:r w:rsidRPr="00B84766">
        <w:rPr>
          <w:sz w:val="22"/>
          <w:szCs w:val="22"/>
        </w:rPr>
        <w:t>Author</w:t>
      </w:r>
      <w:r w:rsidR="00D2336B" w:rsidRPr="00B84766">
        <w:rPr>
          <w:spacing w:val="-2"/>
          <w:sz w:val="22"/>
          <w:szCs w:val="22"/>
        </w:rPr>
        <w:t xml:space="preserve"> </w:t>
      </w:r>
      <w:r w:rsidR="00D2336B" w:rsidRPr="00B84766">
        <w:rPr>
          <w:position w:val="6"/>
          <w:sz w:val="22"/>
          <w:szCs w:val="22"/>
        </w:rPr>
        <w:t>3</w:t>
      </w:r>
      <w:r w:rsidR="00D2336B" w:rsidRPr="00B84766">
        <w:rPr>
          <w:sz w:val="22"/>
          <w:szCs w:val="22"/>
        </w:rPr>
        <w:t>,</w:t>
      </w:r>
      <w:r w:rsidR="00D2336B" w:rsidRPr="00B84766">
        <w:rPr>
          <w:spacing w:val="-5"/>
          <w:sz w:val="22"/>
          <w:szCs w:val="22"/>
        </w:rPr>
        <w:t xml:space="preserve"> </w:t>
      </w:r>
      <w:r w:rsidRPr="00B84766">
        <w:rPr>
          <w:sz w:val="22"/>
          <w:szCs w:val="22"/>
        </w:rPr>
        <w:t>Author</w:t>
      </w:r>
      <w:r w:rsidR="00D2336B" w:rsidRPr="00B84766">
        <w:rPr>
          <w:spacing w:val="-1"/>
          <w:sz w:val="22"/>
          <w:szCs w:val="22"/>
        </w:rPr>
        <w:t xml:space="preserve"> </w:t>
      </w:r>
      <w:r w:rsidR="00D2336B" w:rsidRPr="00B84766">
        <w:rPr>
          <w:position w:val="6"/>
          <w:sz w:val="22"/>
          <w:szCs w:val="22"/>
        </w:rPr>
        <w:t>4</w:t>
      </w:r>
      <w:r w:rsidR="00D2336B" w:rsidRPr="00B84766">
        <w:rPr>
          <w:spacing w:val="-1"/>
          <w:position w:val="6"/>
          <w:sz w:val="22"/>
          <w:szCs w:val="22"/>
        </w:rPr>
        <w:t xml:space="preserve"> </w:t>
      </w:r>
    </w:p>
    <w:p w14:paraId="7AD781B3" w14:textId="1260F737" w:rsidR="00807CEC" w:rsidRPr="00B84766" w:rsidRDefault="00D2336B" w:rsidP="00D71097">
      <w:pPr>
        <w:ind w:left="287"/>
        <w:rPr>
          <w:i/>
        </w:rPr>
      </w:pPr>
      <w:r w:rsidRPr="00B84766">
        <w:rPr>
          <w:i/>
          <w:position w:val="6"/>
        </w:rPr>
        <w:t>1</w:t>
      </w:r>
      <w:r w:rsidRPr="00B84766">
        <w:rPr>
          <w:i/>
          <w:spacing w:val="-3"/>
          <w:position w:val="6"/>
        </w:rPr>
        <w:t xml:space="preserve"> </w:t>
      </w:r>
      <w:r w:rsidR="00AC22AD" w:rsidRPr="00B84766">
        <w:rPr>
          <w:b/>
          <w:i/>
          <w:lang w:val="id"/>
        </w:rPr>
        <w:t>Dewi Padmisari S</w:t>
      </w:r>
      <w:r w:rsidR="00B23F82" w:rsidRPr="00B84766">
        <w:rPr>
          <w:i/>
        </w:rPr>
        <w:t xml:space="preserve"> (</w:t>
      </w:r>
      <w:proofErr w:type="spellStart"/>
      <w:r w:rsidR="00AC22AD" w:rsidRPr="00B84766">
        <w:rPr>
          <w:i/>
        </w:rPr>
        <w:t>Widyaiswara</w:t>
      </w:r>
      <w:proofErr w:type="spellEnd"/>
      <w:r w:rsidR="00B23F82" w:rsidRPr="00B84766">
        <w:rPr>
          <w:i/>
        </w:rPr>
        <w:t xml:space="preserve">, </w:t>
      </w:r>
      <w:r w:rsidR="00AC22AD" w:rsidRPr="00B84766">
        <w:rPr>
          <w:i/>
        </w:rPr>
        <w:t>BBPP Lembang</w:t>
      </w:r>
      <w:r w:rsidR="00B23F82" w:rsidRPr="00B84766">
        <w:rPr>
          <w:i/>
        </w:rPr>
        <w:t xml:space="preserve">, </w:t>
      </w:r>
      <w:proofErr w:type="spellStart"/>
      <w:r w:rsidR="00AC22AD" w:rsidRPr="00B84766">
        <w:rPr>
          <w:i/>
        </w:rPr>
        <w:t>Kementan</w:t>
      </w:r>
      <w:proofErr w:type="spellEnd"/>
      <w:r w:rsidR="00AC22AD" w:rsidRPr="00B84766">
        <w:rPr>
          <w:i/>
        </w:rPr>
        <w:t>, Indonesia</w:t>
      </w:r>
      <w:r w:rsidR="00B23F82" w:rsidRPr="00B84766">
        <w:rPr>
          <w:i/>
        </w:rPr>
        <w:t>)</w:t>
      </w:r>
      <w:r w:rsidRPr="00B84766">
        <w:rPr>
          <w:i/>
          <w:spacing w:val="-2"/>
        </w:rPr>
        <w:t>.</w:t>
      </w:r>
    </w:p>
    <w:p w14:paraId="38979B66" w14:textId="1B3FD185" w:rsidR="00807CEC" w:rsidRPr="00B84766" w:rsidRDefault="00D2336B" w:rsidP="00D71097">
      <w:pPr>
        <w:ind w:left="287"/>
        <w:rPr>
          <w:i/>
        </w:rPr>
      </w:pPr>
      <w:r w:rsidRPr="00B84766">
        <w:rPr>
          <w:i/>
          <w:position w:val="6"/>
        </w:rPr>
        <w:t>2</w:t>
      </w:r>
      <w:r w:rsidRPr="00B84766">
        <w:rPr>
          <w:i/>
          <w:spacing w:val="-3"/>
          <w:position w:val="6"/>
        </w:rPr>
        <w:t xml:space="preserve"> </w:t>
      </w:r>
      <w:proofErr w:type="spellStart"/>
      <w:r w:rsidR="00AC22AD" w:rsidRPr="00B84766">
        <w:rPr>
          <w:b/>
          <w:i/>
        </w:rPr>
        <w:t>Rosros</w:t>
      </w:r>
      <w:proofErr w:type="spellEnd"/>
      <w:r w:rsidR="00AC22AD" w:rsidRPr="00B84766">
        <w:rPr>
          <w:b/>
          <w:i/>
        </w:rPr>
        <w:t xml:space="preserve"> </w:t>
      </w:r>
      <w:proofErr w:type="spellStart"/>
      <w:r w:rsidR="00AC22AD" w:rsidRPr="00B84766">
        <w:rPr>
          <w:b/>
          <w:i/>
        </w:rPr>
        <w:t>Rosdiantini</w:t>
      </w:r>
      <w:proofErr w:type="spellEnd"/>
      <w:r w:rsidR="00B23F82" w:rsidRPr="00B84766">
        <w:rPr>
          <w:i/>
        </w:rPr>
        <w:t xml:space="preserve"> (</w:t>
      </w:r>
      <w:proofErr w:type="spellStart"/>
      <w:r w:rsidR="00AC22AD" w:rsidRPr="00B84766">
        <w:rPr>
          <w:i/>
        </w:rPr>
        <w:t>Widyaiswara</w:t>
      </w:r>
      <w:proofErr w:type="spellEnd"/>
      <w:r w:rsidR="00AC22AD" w:rsidRPr="00B84766">
        <w:rPr>
          <w:i/>
        </w:rPr>
        <w:t xml:space="preserve">, BBPP Lembang, </w:t>
      </w:r>
      <w:proofErr w:type="spellStart"/>
      <w:r w:rsidR="00AC22AD" w:rsidRPr="00B84766">
        <w:rPr>
          <w:i/>
        </w:rPr>
        <w:t>Kementan</w:t>
      </w:r>
      <w:proofErr w:type="spellEnd"/>
      <w:r w:rsidR="00AC22AD" w:rsidRPr="00B84766">
        <w:rPr>
          <w:i/>
        </w:rPr>
        <w:t>, Indonesia</w:t>
      </w:r>
      <w:r w:rsidR="00B23F82" w:rsidRPr="00B84766">
        <w:rPr>
          <w:i/>
        </w:rPr>
        <w:t>)</w:t>
      </w:r>
      <w:r w:rsidR="00B23F82" w:rsidRPr="00B84766">
        <w:rPr>
          <w:i/>
          <w:spacing w:val="-2"/>
        </w:rPr>
        <w:t>.</w:t>
      </w:r>
    </w:p>
    <w:p w14:paraId="2B317D22" w14:textId="438F3E4B" w:rsidR="00807CEC" w:rsidRPr="00B84766" w:rsidRDefault="00D2336B" w:rsidP="00D71097">
      <w:pPr>
        <w:ind w:left="287"/>
        <w:rPr>
          <w:i/>
        </w:rPr>
      </w:pPr>
      <w:r w:rsidRPr="00B84766">
        <w:rPr>
          <w:i/>
          <w:position w:val="6"/>
        </w:rPr>
        <w:t>3</w:t>
      </w:r>
      <w:r w:rsidRPr="00B84766">
        <w:rPr>
          <w:i/>
          <w:spacing w:val="-3"/>
          <w:position w:val="6"/>
        </w:rPr>
        <w:t xml:space="preserve"> </w:t>
      </w:r>
      <w:r w:rsidR="00946A05" w:rsidRPr="00B84766">
        <w:rPr>
          <w:b/>
          <w:i/>
        </w:rPr>
        <w:t xml:space="preserve">Estu </w:t>
      </w:r>
      <w:proofErr w:type="spellStart"/>
      <w:r w:rsidR="00946A05" w:rsidRPr="00B84766">
        <w:rPr>
          <w:b/>
          <w:i/>
        </w:rPr>
        <w:t>Hariyani</w:t>
      </w:r>
      <w:proofErr w:type="spellEnd"/>
      <w:r w:rsidR="00946A05" w:rsidRPr="00B84766">
        <w:rPr>
          <w:i/>
        </w:rPr>
        <w:t xml:space="preserve"> </w:t>
      </w:r>
      <w:r w:rsidR="00B23F82" w:rsidRPr="00B84766">
        <w:rPr>
          <w:i/>
        </w:rPr>
        <w:t>(</w:t>
      </w:r>
      <w:proofErr w:type="spellStart"/>
      <w:r w:rsidR="00AC22AD" w:rsidRPr="00B84766">
        <w:rPr>
          <w:i/>
        </w:rPr>
        <w:t>Widyaiswara</w:t>
      </w:r>
      <w:proofErr w:type="spellEnd"/>
      <w:r w:rsidR="00AC22AD" w:rsidRPr="00B84766">
        <w:rPr>
          <w:i/>
        </w:rPr>
        <w:t xml:space="preserve">, BBPP Lembang, </w:t>
      </w:r>
      <w:proofErr w:type="spellStart"/>
      <w:r w:rsidR="00AC22AD" w:rsidRPr="00B84766">
        <w:rPr>
          <w:i/>
        </w:rPr>
        <w:t>Kementan</w:t>
      </w:r>
      <w:proofErr w:type="spellEnd"/>
      <w:r w:rsidR="00AC22AD" w:rsidRPr="00B84766">
        <w:rPr>
          <w:i/>
        </w:rPr>
        <w:t>, Indonesia</w:t>
      </w:r>
      <w:r w:rsidR="00B23F82" w:rsidRPr="00B84766">
        <w:rPr>
          <w:i/>
        </w:rPr>
        <w:t>)</w:t>
      </w:r>
      <w:r w:rsidR="00B23F82" w:rsidRPr="00B84766">
        <w:rPr>
          <w:i/>
          <w:spacing w:val="-2"/>
        </w:rPr>
        <w:t>.</w:t>
      </w:r>
    </w:p>
    <w:p w14:paraId="249A5C77" w14:textId="2B2EE59F" w:rsidR="00807CEC" w:rsidRPr="00B84766" w:rsidRDefault="00D2336B" w:rsidP="00D71097">
      <w:pPr>
        <w:ind w:left="287"/>
        <w:rPr>
          <w:i/>
        </w:rPr>
      </w:pPr>
      <w:r w:rsidRPr="00B84766">
        <w:rPr>
          <w:i/>
          <w:position w:val="6"/>
        </w:rPr>
        <w:t>4</w:t>
      </w:r>
      <w:r w:rsidRPr="00B84766">
        <w:rPr>
          <w:i/>
          <w:spacing w:val="-3"/>
          <w:position w:val="6"/>
        </w:rPr>
        <w:t xml:space="preserve"> </w:t>
      </w:r>
      <w:r w:rsidR="00946A05" w:rsidRPr="00B84766">
        <w:rPr>
          <w:b/>
          <w:i/>
        </w:rPr>
        <w:t>Risa Nurul Falah</w:t>
      </w:r>
      <w:r w:rsidR="00B23F82" w:rsidRPr="00B84766">
        <w:rPr>
          <w:i/>
        </w:rPr>
        <w:t xml:space="preserve"> (</w:t>
      </w:r>
      <w:proofErr w:type="spellStart"/>
      <w:r w:rsidR="00AC22AD" w:rsidRPr="00B84766">
        <w:rPr>
          <w:i/>
        </w:rPr>
        <w:t>Widyaiswara</w:t>
      </w:r>
      <w:proofErr w:type="spellEnd"/>
      <w:r w:rsidR="00AC22AD" w:rsidRPr="00B84766">
        <w:rPr>
          <w:i/>
        </w:rPr>
        <w:t xml:space="preserve">, BBPP Lembang, </w:t>
      </w:r>
      <w:proofErr w:type="spellStart"/>
      <w:r w:rsidR="00AC22AD" w:rsidRPr="00B84766">
        <w:rPr>
          <w:i/>
        </w:rPr>
        <w:t>Kementan</w:t>
      </w:r>
      <w:proofErr w:type="spellEnd"/>
      <w:r w:rsidR="00AC22AD" w:rsidRPr="00B84766">
        <w:rPr>
          <w:i/>
        </w:rPr>
        <w:t>, Indonesia</w:t>
      </w:r>
      <w:r w:rsidR="00B23F82" w:rsidRPr="00B84766">
        <w:rPr>
          <w:i/>
        </w:rPr>
        <w:t>)</w:t>
      </w:r>
      <w:r w:rsidR="00B23F82" w:rsidRPr="00B84766">
        <w:rPr>
          <w:i/>
          <w:spacing w:val="-2"/>
        </w:rPr>
        <w:t>.</w:t>
      </w:r>
    </w:p>
    <w:p w14:paraId="59955B7D" w14:textId="48F6A619" w:rsidR="00807CEC" w:rsidRPr="00B84766" w:rsidRDefault="00D2336B">
      <w:pPr>
        <w:spacing w:before="1"/>
        <w:ind w:left="287"/>
      </w:pPr>
      <w:r w:rsidRPr="00B84766">
        <w:rPr>
          <w:b/>
        </w:rPr>
        <w:t>Corresponding</w:t>
      </w:r>
      <w:r w:rsidRPr="00B84766">
        <w:rPr>
          <w:b/>
          <w:spacing w:val="-4"/>
        </w:rPr>
        <w:t xml:space="preserve"> </w:t>
      </w:r>
      <w:r w:rsidRPr="00B84766">
        <w:rPr>
          <w:b/>
        </w:rPr>
        <w:t>Author</w:t>
      </w:r>
      <w:r w:rsidRPr="00B84766">
        <w:t>:</w:t>
      </w:r>
      <w:r w:rsidRPr="00B84766">
        <w:rPr>
          <w:spacing w:val="-4"/>
        </w:rPr>
        <w:t xml:space="preserve"> </w:t>
      </w:r>
      <w:r w:rsidR="00AC22AD" w:rsidRPr="00B84766">
        <w:rPr>
          <w:b/>
          <w:i/>
          <w:lang w:val="id"/>
        </w:rPr>
        <w:t>Dewi Padmisari S</w:t>
      </w:r>
      <w:r w:rsidRPr="00B84766">
        <w:t>,</w:t>
      </w:r>
      <w:r w:rsidRPr="00B84766">
        <w:rPr>
          <w:spacing w:val="-2"/>
        </w:rPr>
        <w:t xml:space="preserve"> </w:t>
      </w:r>
      <w:r w:rsidRPr="00B84766">
        <w:rPr>
          <w:b/>
        </w:rPr>
        <w:t>E-mail</w:t>
      </w:r>
      <w:r w:rsidRPr="00B84766">
        <w:t>:</w:t>
      </w:r>
      <w:r w:rsidRPr="00B84766">
        <w:rPr>
          <w:spacing w:val="-2"/>
        </w:rPr>
        <w:t xml:space="preserve"> </w:t>
      </w:r>
      <w:hyperlink r:id="rId8" w:history="1">
        <w:r w:rsidR="00AC22AD" w:rsidRPr="00B84766">
          <w:rPr>
            <w:rStyle w:val="Hyperlink"/>
            <w:spacing w:val="-2"/>
          </w:rPr>
          <w:t>dewips78@gmail.com</w:t>
        </w:r>
      </w:hyperlink>
      <w:r w:rsidR="00AC22AD" w:rsidRPr="00B84766">
        <w:rPr>
          <w:spacing w:val="-2"/>
        </w:rPr>
        <w:t xml:space="preserve"> </w:t>
      </w:r>
    </w:p>
    <w:p w14:paraId="2457C5FA" w14:textId="1CD578B3" w:rsidR="00807CEC" w:rsidRPr="00D71097" w:rsidRDefault="00D2336B" w:rsidP="00D71097">
      <w:pPr>
        <w:pStyle w:val="BodyText"/>
        <w:spacing w:before="5"/>
        <w:ind w:left="0" w:firstLine="287"/>
        <w:jc w:val="left"/>
        <w:rPr>
          <w:b/>
          <w:bCs/>
          <w:sz w:val="22"/>
          <w:szCs w:val="22"/>
        </w:rPr>
      </w:pPr>
      <w:r w:rsidRPr="00D71097">
        <w:rPr>
          <w:b/>
          <w:bCs/>
          <w:noProof/>
          <w:sz w:val="22"/>
          <w:szCs w:val="22"/>
        </w:rPr>
        <mc:AlternateContent>
          <mc:Choice Requires="wps">
            <w:drawing>
              <wp:anchor distT="0" distB="0" distL="0" distR="0" simplePos="0" relativeHeight="487588352" behindDoc="1" locked="0" layoutInCell="1" allowOverlap="1" wp14:anchorId="6B39AF7B" wp14:editId="1F0E039D">
                <wp:simplePos x="0" y="0"/>
                <wp:positionH relativeFrom="page">
                  <wp:posOffset>610869</wp:posOffset>
                </wp:positionH>
                <wp:positionV relativeFrom="paragraph">
                  <wp:posOffset>179450</wp:posOffset>
                </wp:positionV>
                <wp:extent cx="6541770" cy="635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41770" cy="6350"/>
                        </a:xfrm>
                        <a:custGeom>
                          <a:avLst/>
                          <a:gdLst/>
                          <a:ahLst/>
                          <a:cxnLst/>
                          <a:rect l="l" t="t" r="r" b="b"/>
                          <a:pathLst>
                            <a:path w="6541770" h="6350">
                              <a:moveTo>
                                <a:pt x="6541770" y="0"/>
                              </a:moveTo>
                              <a:lnTo>
                                <a:pt x="0" y="0"/>
                              </a:lnTo>
                              <a:lnTo>
                                <a:pt x="0" y="6350"/>
                              </a:lnTo>
                              <a:lnTo>
                                <a:pt x="6541770" y="6350"/>
                              </a:lnTo>
                              <a:lnTo>
                                <a:pt x="65417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F4E752B" id="Graphic 5" o:spid="_x0000_s1026" style="position:absolute;margin-left:48.1pt;margin-top:14.15pt;width:515.1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65417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" path="m6541770,l,,,6350r6541770,l6541770,xe" fillcolor="black" stroked="f">
                <v:path arrowok="t"/>
                <w10:wrap type="topAndBottom" anchorx="page"/>
              </v:shape>
            </w:pict>
          </mc:Fallback>
        </mc:AlternateContent>
      </w:r>
      <w:r w:rsidRPr="00D71097">
        <w:rPr>
          <w:b/>
          <w:bCs/>
          <w:color w:val="FF0000"/>
          <w:sz w:val="22"/>
          <w:szCs w:val="22"/>
        </w:rPr>
        <w:t>|</w:t>
      </w:r>
      <w:r w:rsidRPr="00D71097">
        <w:rPr>
          <w:b/>
          <w:bCs/>
          <w:color w:val="FF0000"/>
          <w:spacing w:val="1"/>
          <w:sz w:val="22"/>
          <w:szCs w:val="22"/>
        </w:rPr>
        <w:t xml:space="preserve"> </w:t>
      </w:r>
      <w:r w:rsidRPr="00D71097">
        <w:rPr>
          <w:b/>
          <w:bCs/>
          <w:spacing w:val="-2"/>
          <w:sz w:val="22"/>
          <w:szCs w:val="22"/>
        </w:rPr>
        <w:t>ABSTRACT</w:t>
      </w:r>
    </w:p>
    <w:p w14:paraId="7EEE5620" w14:textId="77777777" w:rsidR="00B12376" w:rsidRPr="00B84766" w:rsidRDefault="00B12376" w:rsidP="00D71097">
      <w:pPr>
        <w:spacing w:before="100" w:beforeAutospacing="1"/>
        <w:ind w:left="360"/>
        <w:jc w:val="both"/>
        <w:rPr>
          <w:rFonts w:eastAsia="Times New Roman"/>
        </w:rPr>
      </w:pPr>
      <w:r w:rsidRPr="00B84766">
        <w:rPr>
          <w:rFonts w:eastAsia="Times New Roman"/>
        </w:rPr>
        <w:t>Cherry tomato is a high-value horticultural crop in Indonesia, yet its productivity is frequently threatened by pest attacks that may cause economic losses. In many production areas, pest control decisions are still applied preventively without adequate population monitoring, leading to inefficiency and unnecessary production costs. This study aimed to assess the potential economic losses caused by pest attacks on cherry tomato, determine site-specific Economic Injury Level (EIL) and Economic Threshold (ET), and evaluate the economic feasibility of pest control using a Benefit–Cost Ratio (B/C) approach based on light trap data.</w:t>
      </w:r>
    </w:p>
    <w:p w14:paraId="186AFCA5" w14:textId="77777777" w:rsidR="00B12376" w:rsidRPr="00B84766" w:rsidRDefault="00B12376" w:rsidP="00D71097">
      <w:pPr>
        <w:spacing w:before="100" w:beforeAutospacing="1"/>
        <w:ind w:left="360"/>
        <w:jc w:val="both"/>
        <w:rPr>
          <w:rFonts w:eastAsia="Times New Roman"/>
        </w:rPr>
      </w:pPr>
      <w:r w:rsidRPr="00B84766">
        <w:rPr>
          <w:rFonts w:eastAsia="Times New Roman"/>
        </w:rPr>
        <w:t xml:space="preserve">The study was conducted from October to November 2025 on a 300 m² cherry tomato field (850 plants) in </w:t>
      </w:r>
      <w:proofErr w:type="spellStart"/>
      <w:r w:rsidRPr="00B84766">
        <w:rPr>
          <w:rFonts w:eastAsia="Times New Roman"/>
        </w:rPr>
        <w:t>Cibodas</w:t>
      </w:r>
      <w:proofErr w:type="spellEnd"/>
      <w:r w:rsidRPr="00B84766">
        <w:rPr>
          <w:rFonts w:eastAsia="Times New Roman"/>
        </w:rPr>
        <w:t xml:space="preserve"> Village, Lembang District, West Java. Pest populations were monitored using light traps over eight observation periods. Economic analysis was performed by integrating yield loss, control costs, EIL, ET, and B/C ratio calculations.</w:t>
      </w:r>
    </w:p>
    <w:p w14:paraId="5B6AF286" w14:textId="58861749" w:rsidR="00B12376" w:rsidRPr="00B84766" w:rsidRDefault="00B12376" w:rsidP="00D71097">
      <w:pPr>
        <w:spacing w:before="100" w:beforeAutospacing="1"/>
        <w:ind w:left="360"/>
        <w:jc w:val="both"/>
        <w:rPr>
          <w:rFonts w:eastAsia="Times New Roman"/>
        </w:rPr>
      </w:pPr>
      <w:r w:rsidRPr="00B84766">
        <w:rPr>
          <w:rFonts w:eastAsia="Times New Roman"/>
        </w:rPr>
        <w:t xml:space="preserve">Results showed that a total of 164 insects </w:t>
      </w:r>
      <w:r w:rsidR="0000556F">
        <w:rPr>
          <w:rFonts w:eastAsia="Times New Roman"/>
        </w:rPr>
        <w:t xml:space="preserve">(such as </w:t>
      </w:r>
      <w:r w:rsidR="0000556F" w:rsidRPr="0000556F">
        <w:rPr>
          <w:rFonts w:eastAsia="Times New Roman"/>
        </w:rPr>
        <w:t>Spodoptera</w:t>
      </w:r>
      <w:r w:rsidR="0000556F">
        <w:rPr>
          <w:rFonts w:eastAsia="Times New Roman"/>
        </w:rPr>
        <w:t xml:space="preserve">, </w:t>
      </w:r>
      <w:proofErr w:type="spellStart"/>
      <w:r w:rsidR="0000556F" w:rsidRPr="0000556F">
        <w:rPr>
          <w:rFonts w:eastAsia="Times New Roman"/>
        </w:rPr>
        <w:t>Mythimna</w:t>
      </w:r>
      <w:proofErr w:type="spellEnd"/>
      <w:r w:rsidR="0000556F">
        <w:rPr>
          <w:rFonts w:eastAsia="Times New Roman"/>
        </w:rPr>
        <w:t xml:space="preserve">, </w:t>
      </w:r>
      <w:proofErr w:type="spellStart"/>
      <w:r w:rsidR="0000556F" w:rsidRPr="0000556F">
        <w:rPr>
          <w:rFonts w:eastAsia="Times New Roman"/>
        </w:rPr>
        <w:t>Lyriomiza</w:t>
      </w:r>
      <w:proofErr w:type="spellEnd"/>
      <w:r w:rsidR="0000556F">
        <w:rPr>
          <w:rFonts w:eastAsia="Times New Roman"/>
        </w:rPr>
        <w:t xml:space="preserve">, </w:t>
      </w:r>
      <w:proofErr w:type="spellStart"/>
      <w:r w:rsidR="0000556F">
        <w:rPr>
          <w:rFonts w:eastAsia="Times New Roman"/>
        </w:rPr>
        <w:t>etc</w:t>
      </w:r>
      <w:proofErr w:type="spellEnd"/>
      <w:r w:rsidR="0000556F">
        <w:rPr>
          <w:rFonts w:eastAsia="Times New Roman"/>
        </w:rPr>
        <w:t xml:space="preserve">) </w:t>
      </w:r>
      <w:r w:rsidRPr="00B84766">
        <w:rPr>
          <w:rFonts w:eastAsia="Times New Roman"/>
        </w:rPr>
        <w:t>were recorded, causing cumulative crop damage of only 0.492% and yield loss of 4.92 kg, equivalent to an economic loss of IDR 49,200 per 300 m². The calculated EIL and ET were 32,500 and 26,000 insects per 300 m², respectively. Observed pest populations were far below these thresholds. The B/C ratio of chemical control was 0.0757, indicating that pest control was not economically viable.</w:t>
      </w:r>
    </w:p>
    <w:p w14:paraId="30E6DB71" w14:textId="77777777" w:rsidR="00B12376" w:rsidRPr="00B84766" w:rsidRDefault="00B12376" w:rsidP="00D71097">
      <w:pPr>
        <w:spacing w:before="100" w:beforeAutospacing="1"/>
        <w:ind w:left="360"/>
        <w:jc w:val="both"/>
        <w:rPr>
          <w:rFonts w:eastAsia="Times New Roman"/>
        </w:rPr>
      </w:pPr>
      <w:r w:rsidRPr="00B84766">
        <w:rPr>
          <w:rFonts w:eastAsia="Times New Roman"/>
        </w:rPr>
        <w:t>The study concludes that, during the early growth stage, pest management through intensive monitoring without chemical intervention is the most rational and economically efficient strategy, supporting Integrated Pest Management principles and sustainable horticultural production.</w:t>
      </w:r>
    </w:p>
    <w:p w14:paraId="4378E7AF" w14:textId="77777777" w:rsidR="00B84766" w:rsidRDefault="00D2336B" w:rsidP="00B84766">
      <w:pPr>
        <w:pStyle w:val="Heading1"/>
        <w:rPr>
          <w:rFonts w:eastAsia="Times New Roman"/>
          <w:color w:val="000000"/>
          <w:sz w:val="22"/>
          <w:szCs w:val="22"/>
        </w:rPr>
      </w:pPr>
      <w:r w:rsidRPr="00B84766">
        <w:rPr>
          <w:color w:val="FF0000"/>
          <w:sz w:val="22"/>
          <w:szCs w:val="22"/>
        </w:rPr>
        <w:t>|</w:t>
      </w:r>
      <w:r w:rsidRPr="00B84766">
        <w:rPr>
          <w:color w:val="FF0000"/>
          <w:spacing w:val="1"/>
          <w:sz w:val="22"/>
          <w:szCs w:val="22"/>
        </w:rPr>
        <w:t xml:space="preserve"> </w:t>
      </w:r>
      <w:r w:rsidRPr="00B84766">
        <w:rPr>
          <w:spacing w:val="-2"/>
          <w:sz w:val="22"/>
          <w:szCs w:val="22"/>
        </w:rPr>
        <w:t>KEYWORDS</w:t>
      </w:r>
      <w:r w:rsidR="009129BF" w:rsidRPr="00B84766">
        <w:rPr>
          <w:rFonts w:eastAsia="Times New Roman"/>
          <w:color w:val="000000"/>
          <w:sz w:val="22"/>
          <w:szCs w:val="22"/>
        </w:rPr>
        <w:t xml:space="preserve"> cherry tomato, light trap, economic injury level, economic threshold, benefit–cost ratio </w:t>
      </w:r>
    </w:p>
    <w:p w14:paraId="4E1587AF" w14:textId="6A9078D8" w:rsidR="00807CEC" w:rsidRPr="00B84766" w:rsidRDefault="00D2336B" w:rsidP="00B84766">
      <w:pPr>
        <w:pStyle w:val="Heading1"/>
        <w:rPr>
          <w:b w:val="0"/>
          <w:sz w:val="22"/>
          <w:szCs w:val="22"/>
        </w:rPr>
      </w:pPr>
      <w:r w:rsidRPr="00B84766">
        <w:rPr>
          <w:b w:val="0"/>
          <w:noProof/>
          <w:sz w:val="22"/>
          <w:szCs w:val="22"/>
        </w:rPr>
        <mc:AlternateContent>
          <mc:Choice Requires="wps">
            <w:drawing>
              <wp:anchor distT="0" distB="0" distL="0" distR="0" simplePos="0" relativeHeight="487588864" behindDoc="1" locked="0" layoutInCell="1" allowOverlap="1" wp14:anchorId="77AD504F" wp14:editId="4EEEE255">
                <wp:simplePos x="0" y="0"/>
                <wp:positionH relativeFrom="page">
                  <wp:posOffset>621030</wp:posOffset>
                </wp:positionH>
                <wp:positionV relativeFrom="paragraph">
                  <wp:posOffset>198143</wp:posOffset>
                </wp:positionV>
                <wp:extent cx="6531609" cy="635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31609" cy="6350"/>
                        </a:xfrm>
                        <a:custGeom>
                          <a:avLst/>
                          <a:gdLst/>
                          <a:ahLst/>
                          <a:cxnLst/>
                          <a:rect l="l" t="t" r="r" b="b"/>
                          <a:pathLst>
                            <a:path w="6531609" h="6350">
                              <a:moveTo>
                                <a:pt x="6531609" y="0"/>
                              </a:moveTo>
                              <a:lnTo>
                                <a:pt x="0" y="0"/>
                              </a:lnTo>
                              <a:lnTo>
                                <a:pt x="0" y="6350"/>
                              </a:lnTo>
                              <a:lnTo>
                                <a:pt x="6531609" y="6350"/>
                              </a:lnTo>
                              <a:lnTo>
                                <a:pt x="65316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A797A5" id="Graphic 6" o:spid="_x0000_s1026" style="position:absolute;margin-left:48.9pt;margin-top:15.6pt;width:514.3pt;height:.5pt;z-index:-15727616;visibility:visible;mso-wrap-style:square;mso-wrap-distance-left:0;mso-wrap-distance-top:0;mso-wrap-distance-right:0;mso-wrap-distance-bottom:0;mso-position-horizontal:absolute;mso-position-horizontal-relative:page;mso-position-vertical:absolute;mso-position-vertical-relative:text;v-text-anchor:top" coordsize="6531609,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" path="m6531609,l,,,6350r6531609,l6531609,xe" fillcolor="black" stroked="f">
                <v:path arrowok="t"/>
                <w10:wrap type="topAndBottom" anchorx="page"/>
              </v:shape>
            </w:pict>
          </mc:Fallback>
        </mc:AlternateContent>
      </w:r>
    </w:p>
    <w:p w14:paraId="2B031E1D" w14:textId="77777777" w:rsidR="00807CEC" w:rsidRPr="00B84766" w:rsidRDefault="00D2336B" w:rsidP="00D71097">
      <w:pPr>
        <w:pStyle w:val="Heading2"/>
        <w:numPr>
          <w:ilvl w:val="0"/>
          <w:numId w:val="2"/>
        </w:numPr>
        <w:tabs>
          <w:tab w:val="left" w:pos="287"/>
        </w:tabs>
        <w:spacing w:before="159"/>
        <w:ind w:left="441" w:hanging="154"/>
        <w:rPr>
          <w:sz w:val="22"/>
          <w:szCs w:val="22"/>
        </w:rPr>
      </w:pPr>
      <w:r w:rsidRPr="00B84766">
        <w:rPr>
          <w:spacing w:val="-2"/>
          <w:sz w:val="22"/>
          <w:szCs w:val="22"/>
        </w:rPr>
        <w:t>INTRODUCTION</w:t>
      </w:r>
    </w:p>
    <w:p w14:paraId="3F6DD216" w14:textId="77777777" w:rsidR="00A5742B" w:rsidRPr="00B84766" w:rsidRDefault="00A5742B" w:rsidP="00D71097">
      <w:pPr>
        <w:tabs>
          <w:tab w:val="left" w:pos="287"/>
        </w:tabs>
        <w:ind w:left="270"/>
        <w:jc w:val="both"/>
        <w:rPr>
          <w:color w:val="000000"/>
        </w:rPr>
      </w:pPr>
      <w:r w:rsidRPr="00B84766">
        <w:rPr>
          <w:color w:val="000000"/>
        </w:rPr>
        <w:t>Tomato is a high-value horticultural commodity in Indonesia, with national production reaching 1.28 million tons annually (BPS, 2024). Desa Cibodas, Lembang District, West Java, as one of the major tomato production centers, faces significant economic losses due to attacks by Plant Pests and Diseases (PPD). Previous studies reported yield losses of 35–55%, resulting in economic losses of IDR 15–25 million per hectare (</w:t>
      </w:r>
      <w:proofErr w:type="spellStart"/>
      <w:r w:rsidRPr="00B84766">
        <w:rPr>
          <w:color w:val="000000"/>
        </w:rPr>
        <w:t>Nurjanah</w:t>
      </w:r>
      <w:proofErr w:type="spellEnd"/>
      <w:r w:rsidRPr="00B84766">
        <w:rPr>
          <w:color w:val="000000"/>
        </w:rPr>
        <w:t xml:space="preserve"> et </w:t>
      </w:r>
      <w:r w:rsidRPr="00B84766">
        <w:rPr>
          <w:color w:val="000000"/>
        </w:rPr>
        <w:lastRenderedPageBreak/>
        <w:t>al., 2022).</w:t>
      </w:r>
    </w:p>
    <w:p w14:paraId="7321785F" w14:textId="77777777" w:rsidR="00A5742B" w:rsidRPr="00B84766" w:rsidRDefault="00A5742B" w:rsidP="00D71097">
      <w:pPr>
        <w:tabs>
          <w:tab w:val="left" w:pos="287"/>
        </w:tabs>
        <w:ind w:left="270"/>
        <w:jc w:val="both"/>
        <w:rPr>
          <w:color w:val="000000"/>
        </w:rPr>
      </w:pPr>
    </w:p>
    <w:p w14:paraId="6613C14E" w14:textId="77777777" w:rsidR="00A5742B" w:rsidRPr="00B84766" w:rsidRDefault="00A5742B" w:rsidP="00D71097">
      <w:pPr>
        <w:tabs>
          <w:tab w:val="left" w:pos="287"/>
        </w:tabs>
        <w:ind w:left="270"/>
        <w:jc w:val="both"/>
        <w:rPr>
          <w:color w:val="000000"/>
        </w:rPr>
      </w:pPr>
      <w:r w:rsidRPr="00B84766">
        <w:rPr>
          <w:color w:val="000000"/>
        </w:rPr>
        <w:t>The main challenge faced by farmers is the absence of an effective pest monitoring system. Pest control is commonly conducted in a reactive manner through untimely and excessive insecticide applications, leading to economic inefficiency and environmental risks (Musser &amp; Shelton, 2003). Light traps have been widely recognized as an effective tool for monitoring nocturnal insect pests, with studies confirming their accuracy in detecting pest population dynamics (</w:t>
      </w:r>
      <w:proofErr w:type="spellStart"/>
      <w:r w:rsidRPr="00B84766">
        <w:rPr>
          <w:color w:val="000000"/>
        </w:rPr>
        <w:t>Widyastama</w:t>
      </w:r>
      <w:proofErr w:type="spellEnd"/>
      <w:r w:rsidRPr="00B84766">
        <w:rPr>
          <w:color w:val="000000"/>
        </w:rPr>
        <w:t xml:space="preserve"> et al., 2018; Rahman &amp; Rauf, 2019).</w:t>
      </w:r>
    </w:p>
    <w:p w14:paraId="1EEBC3A6" w14:textId="77777777" w:rsidR="00A5742B" w:rsidRPr="00B84766" w:rsidRDefault="00A5742B" w:rsidP="00D71097">
      <w:pPr>
        <w:tabs>
          <w:tab w:val="left" w:pos="287"/>
        </w:tabs>
        <w:ind w:left="270"/>
        <w:jc w:val="both"/>
        <w:rPr>
          <w:color w:val="000000"/>
        </w:rPr>
      </w:pPr>
    </w:p>
    <w:p w14:paraId="55BD89E0" w14:textId="77777777" w:rsidR="00A5742B" w:rsidRPr="00B84766" w:rsidRDefault="00A5742B" w:rsidP="00D71097">
      <w:pPr>
        <w:tabs>
          <w:tab w:val="left" w:pos="287"/>
        </w:tabs>
        <w:ind w:left="270"/>
        <w:jc w:val="both"/>
        <w:rPr>
          <w:color w:val="000000"/>
        </w:rPr>
      </w:pPr>
      <w:r w:rsidRPr="00B84766">
        <w:rPr>
          <w:color w:val="000000"/>
        </w:rPr>
        <w:t xml:space="preserve">However, the utilization of light trap data for economic analysis in tomato pest management in Desa </w:t>
      </w:r>
      <w:proofErr w:type="spellStart"/>
      <w:r w:rsidRPr="00B84766">
        <w:rPr>
          <w:color w:val="000000"/>
        </w:rPr>
        <w:t>Cibodas</w:t>
      </w:r>
      <w:proofErr w:type="spellEnd"/>
      <w:r w:rsidRPr="00B84766">
        <w:rPr>
          <w:color w:val="000000"/>
        </w:rPr>
        <w:t xml:space="preserve"> remains limited. Accurate monitoring data are essential for determining the Economic Injury Level (EIL) and Economic Threshold (ET) to support economically sound pest control decisions (Stone &amp; Pedigo, 1972). Recent studies have demonstrated a strong correlation between light trap catches and actual pest populations, as well as their contribution to improved benefit–cost ratios and reduced insecticide use under Integrated Pest Management (IPM) approaches (Chen et al., 2022; Nguyen et al., 2022; Wang et al., 2024).</w:t>
      </w:r>
    </w:p>
    <w:p w14:paraId="635F36A8" w14:textId="77777777" w:rsidR="00A5742B" w:rsidRPr="00B84766" w:rsidRDefault="00A5742B" w:rsidP="00D71097">
      <w:pPr>
        <w:tabs>
          <w:tab w:val="left" w:pos="287"/>
        </w:tabs>
        <w:ind w:left="270"/>
        <w:jc w:val="both"/>
        <w:rPr>
          <w:color w:val="000000"/>
        </w:rPr>
      </w:pPr>
    </w:p>
    <w:p w14:paraId="631928FD" w14:textId="0D8BD263" w:rsidR="0009149F" w:rsidRPr="0009149F" w:rsidRDefault="00A5742B" w:rsidP="00D71097">
      <w:pPr>
        <w:tabs>
          <w:tab w:val="left" w:pos="287"/>
        </w:tabs>
        <w:ind w:left="270"/>
        <w:jc w:val="both"/>
        <w:rPr>
          <w:color w:val="000000"/>
        </w:rPr>
      </w:pPr>
      <w:r w:rsidRPr="00B84766">
        <w:rPr>
          <w:color w:val="000000"/>
        </w:rPr>
        <w:t xml:space="preserve">Therefore, </w:t>
      </w:r>
      <w:r w:rsidR="00B37F85">
        <w:rPr>
          <w:color w:val="000000"/>
        </w:rPr>
        <w:t>t</w:t>
      </w:r>
      <w:r w:rsidR="00B37F85" w:rsidRPr="0009149F">
        <w:rPr>
          <w:color w:val="000000"/>
        </w:rPr>
        <w:t>his study aims to quantify pest population dynamics using light trap data, estimate EIL and ET values, assess potential economic losses, and evaluate the economic feasibility of pest control strategies through Benefit–Cost Ratio analysis</w:t>
      </w:r>
      <w:r w:rsidRPr="00B84766">
        <w:rPr>
          <w:color w:val="000000"/>
        </w:rPr>
        <w:t xml:space="preserve">, to support efficient, data-driven, and sustainable tomato pest management strategies in </w:t>
      </w:r>
      <w:proofErr w:type="spellStart"/>
      <w:r w:rsidRPr="00B84766">
        <w:rPr>
          <w:color w:val="000000"/>
        </w:rPr>
        <w:t>Cibodas</w:t>
      </w:r>
      <w:proofErr w:type="spellEnd"/>
      <w:r w:rsidR="00B37F85">
        <w:rPr>
          <w:color w:val="000000"/>
        </w:rPr>
        <w:t xml:space="preserve"> Village.</w:t>
      </w:r>
    </w:p>
    <w:p w14:paraId="28BC7C9B" w14:textId="77777777" w:rsidR="0009149F" w:rsidRDefault="0009149F" w:rsidP="00A5742B">
      <w:pPr>
        <w:ind w:left="270"/>
        <w:jc w:val="both"/>
        <w:rPr>
          <w:color w:val="000000"/>
        </w:rPr>
      </w:pPr>
    </w:p>
    <w:p w14:paraId="79EE60A1" w14:textId="77777777" w:rsidR="0009149F" w:rsidRPr="00B84766" w:rsidRDefault="0009149F" w:rsidP="00A5742B">
      <w:pPr>
        <w:ind w:left="270"/>
        <w:jc w:val="both"/>
        <w:rPr>
          <w:color w:val="000000"/>
        </w:rPr>
      </w:pPr>
    </w:p>
    <w:p w14:paraId="5A55AE7B" w14:textId="77777777" w:rsidR="00807CEC" w:rsidRPr="00B84766" w:rsidRDefault="00D2336B">
      <w:pPr>
        <w:pStyle w:val="Heading2"/>
        <w:numPr>
          <w:ilvl w:val="0"/>
          <w:numId w:val="2"/>
        </w:numPr>
        <w:tabs>
          <w:tab w:val="left" w:pos="498"/>
        </w:tabs>
        <w:spacing w:before="1" w:line="239" w:lineRule="exact"/>
        <w:ind w:left="498" w:hanging="211"/>
        <w:jc w:val="both"/>
        <w:rPr>
          <w:sz w:val="22"/>
          <w:szCs w:val="22"/>
        </w:rPr>
      </w:pPr>
      <w:r w:rsidRPr="00B84766">
        <w:rPr>
          <w:spacing w:val="-2"/>
          <w:sz w:val="22"/>
          <w:szCs w:val="22"/>
        </w:rPr>
        <w:t>METHODOLOGY</w:t>
      </w:r>
    </w:p>
    <w:p w14:paraId="17DC5A09" w14:textId="3109E3BE" w:rsidR="00863B3C" w:rsidRPr="00B84766" w:rsidRDefault="00863B3C" w:rsidP="00863B3C">
      <w:pPr>
        <w:pStyle w:val="BodyText"/>
        <w:spacing w:before="119"/>
        <w:ind w:left="270"/>
        <w:rPr>
          <w:color w:val="000000"/>
          <w:sz w:val="22"/>
          <w:szCs w:val="22"/>
        </w:rPr>
      </w:pPr>
      <w:r w:rsidRPr="00B84766">
        <w:rPr>
          <w:color w:val="000000"/>
          <w:sz w:val="22"/>
          <w:szCs w:val="22"/>
        </w:rPr>
        <w:t>Th</w:t>
      </w:r>
      <w:r w:rsidR="003157A1">
        <w:rPr>
          <w:color w:val="000000"/>
          <w:sz w:val="22"/>
          <w:szCs w:val="22"/>
        </w:rPr>
        <w:t>e</w:t>
      </w:r>
      <w:r w:rsidRPr="00B84766">
        <w:rPr>
          <w:color w:val="000000"/>
          <w:sz w:val="22"/>
          <w:szCs w:val="22"/>
        </w:rPr>
        <w:t xml:space="preserve"> study applied a quantitative descriptive research design integrating pest monitoring data with economic analysis. </w:t>
      </w:r>
      <w:r w:rsidR="003157A1" w:rsidRPr="003157A1">
        <w:rPr>
          <w:color w:val="000000"/>
          <w:sz w:val="22"/>
          <w:szCs w:val="22"/>
        </w:rPr>
        <w:t>The study was conducted at a single plot and during one growing season to generate site-specific EIL, ET, and BCR estimates under local production conditions</w:t>
      </w:r>
      <w:r w:rsidR="003157A1">
        <w:rPr>
          <w:i/>
          <w:iCs/>
          <w:color w:val="000000"/>
          <w:sz w:val="22"/>
          <w:szCs w:val="22"/>
        </w:rPr>
        <w:t xml:space="preserve">, </w:t>
      </w:r>
      <w:r w:rsidR="003157A1" w:rsidRPr="003157A1">
        <w:rPr>
          <w:color w:val="000000"/>
          <w:sz w:val="22"/>
          <w:szCs w:val="22"/>
        </w:rPr>
        <w:t xml:space="preserve">and </w:t>
      </w:r>
      <w:r w:rsidRPr="00B84766">
        <w:rPr>
          <w:color w:val="000000"/>
          <w:sz w:val="22"/>
          <w:szCs w:val="22"/>
        </w:rPr>
        <w:t xml:space="preserve">was conducted from 17 October to 11 November 2025 at the Multi Karya farmer group, led by Dadang Rukmana, located in </w:t>
      </w:r>
      <w:proofErr w:type="spellStart"/>
      <w:r w:rsidR="00B37F85" w:rsidRPr="00B37F85">
        <w:rPr>
          <w:color w:val="000000"/>
          <w:sz w:val="22"/>
          <w:szCs w:val="22"/>
        </w:rPr>
        <w:t>Cibodas</w:t>
      </w:r>
      <w:proofErr w:type="spellEnd"/>
      <w:r w:rsidR="00B37F85" w:rsidRPr="00B37F85">
        <w:rPr>
          <w:color w:val="000000"/>
          <w:sz w:val="22"/>
          <w:szCs w:val="22"/>
        </w:rPr>
        <w:t xml:space="preserve"> Village</w:t>
      </w:r>
      <w:r w:rsidRPr="00B84766">
        <w:rPr>
          <w:color w:val="000000"/>
          <w:sz w:val="22"/>
          <w:szCs w:val="22"/>
        </w:rPr>
        <w:t>, Lembang District, West Bandung Regency, Indonesia. The study site was selected purposively based on three considerations: (1) Lembang is a major tomato production center in West Java, (2) tomato cultivation is conducted continuously by local farmers, and (3) no previous light trap–based pest monitoring study had been conducted in the area.</w:t>
      </w:r>
    </w:p>
    <w:p w14:paraId="15161BD9" w14:textId="640ADD51" w:rsidR="00863B3C" w:rsidRPr="00B84766" w:rsidRDefault="00863B3C" w:rsidP="00863B3C">
      <w:pPr>
        <w:pStyle w:val="BodyText"/>
        <w:spacing w:before="119"/>
        <w:ind w:left="270"/>
        <w:rPr>
          <w:color w:val="000000"/>
          <w:sz w:val="22"/>
          <w:szCs w:val="22"/>
        </w:rPr>
      </w:pPr>
      <w:r w:rsidRPr="00B84766">
        <w:rPr>
          <w:color w:val="000000"/>
          <w:sz w:val="22"/>
          <w:szCs w:val="22"/>
        </w:rPr>
        <w:t xml:space="preserve">The study utilized primary and secondary data. Primary data were collected through direct field observation, structured interviews, and questionnaires administered to tomato farmers. </w:t>
      </w:r>
      <w:r w:rsidR="00E0553E" w:rsidRPr="00E0553E">
        <w:rPr>
          <w:color w:val="000000"/>
          <w:sz w:val="22"/>
          <w:szCs w:val="22"/>
        </w:rPr>
        <w:t>Insect populations were monitored using two light trap configurations. The first configuration consisted of a continuously operating purple ultraviolet (UV) lamp with a power output of 0.5 W, operated for 24 h day⁻¹. The second configuration was a time-controlled light trap system, employing a 5 W yellow lamp during daytime and a 5 W white lamp during nighttime, operated from 18:00 to 22:00. The dual-lamp system was designed to account for diurnal and nocturnal insect activity patterns. Light traps were positioned at canopy level and operated uniformly throughout one growing season.</w:t>
      </w:r>
      <w:r w:rsidR="00E0553E">
        <w:rPr>
          <w:color w:val="000000"/>
          <w:sz w:val="22"/>
          <w:szCs w:val="22"/>
        </w:rPr>
        <w:t xml:space="preserve"> </w:t>
      </w:r>
      <w:r w:rsidRPr="00B84766">
        <w:rPr>
          <w:color w:val="000000"/>
          <w:sz w:val="22"/>
          <w:szCs w:val="22"/>
        </w:rPr>
        <w:t>Observations focused on pest populations captured using light traps and crop condition during the study period. Interviews and questionnaires were used to obtain data on cultivation practices, pest control measures, production costs, and yield performance. Secondary data were obtained from scientific literature, journals, books, seminar papers, official documents, and statistical data from relevant institutions.</w:t>
      </w:r>
    </w:p>
    <w:p w14:paraId="35EC75B3" w14:textId="77777777" w:rsidR="00863B3C" w:rsidRPr="00B84766" w:rsidRDefault="00863B3C" w:rsidP="00863B3C">
      <w:pPr>
        <w:pStyle w:val="BodyText"/>
        <w:spacing w:before="119"/>
        <w:ind w:left="270"/>
        <w:rPr>
          <w:color w:val="000000"/>
          <w:sz w:val="22"/>
          <w:szCs w:val="22"/>
        </w:rPr>
      </w:pPr>
      <w:r w:rsidRPr="00B84766">
        <w:rPr>
          <w:color w:val="000000"/>
          <w:sz w:val="22"/>
          <w:szCs w:val="22"/>
        </w:rPr>
        <w:t>The population in this study consisted of 850 tomato plants cultivated on a 300 m² plot owned by a farmer who is a member of the Multi Karya farmer group. All plants within the selected plot were included as observation units for pest monitoring and economic evaluation.</w:t>
      </w:r>
    </w:p>
    <w:p w14:paraId="0FB5747F" w14:textId="77777777" w:rsidR="00863B3C" w:rsidRPr="00B84766" w:rsidRDefault="00863B3C" w:rsidP="00863B3C">
      <w:pPr>
        <w:pStyle w:val="BodyText"/>
        <w:spacing w:before="119"/>
        <w:ind w:left="270"/>
        <w:rPr>
          <w:color w:val="000000"/>
          <w:sz w:val="22"/>
          <w:szCs w:val="22"/>
        </w:rPr>
      </w:pPr>
      <w:r w:rsidRPr="00B84766">
        <w:rPr>
          <w:color w:val="000000"/>
          <w:sz w:val="22"/>
          <w:szCs w:val="22"/>
        </w:rPr>
        <w:t xml:space="preserve">Key variables observed in this study included: (1) pest population levels based on light trap catches, (2) costs </w:t>
      </w:r>
      <w:r w:rsidRPr="00B84766">
        <w:rPr>
          <w:color w:val="000000"/>
          <w:sz w:val="22"/>
          <w:szCs w:val="22"/>
        </w:rPr>
        <w:lastRenderedPageBreak/>
        <w:t>of pest control and production inputs, (3) yield losses due to pest attacks, and (4) economic indicators derived from the Economic Injury Level (EIL), Economic Threshold (ET), and Benefit–Cost Ratio (BCR). Pest population data served as the primary input for determining economic thresholds and control decisions.</w:t>
      </w:r>
    </w:p>
    <w:p w14:paraId="1F98566D" w14:textId="052D08D4" w:rsidR="00E11315" w:rsidRPr="00B84766" w:rsidRDefault="00863B3C" w:rsidP="00863B3C">
      <w:pPr>
        <w:pStyle w:val="BodyText"/>
        <w:spacing w:before="119"/>
        <w:ind w:left="270"/>
        <w:rPr>
          <w:color w:val="000000"/>
          <w:sz w:val="22"/>
          <w:szCs w:val="22"/>
        </w:rPr>
      </w:pPr>
      <w:r w:rsidRPr="00B84766">
        <w:rPr>
          <w:color w:val="000000"/>
          <w:sz w:val="22"/>
          <w:szCs w:val="22"/>
        </w:rPr>
        <w:t>Data analysis was conducted using quantitative analytical methods. Collected data were tabulated and analyzed using established economic pest management models. The Economic Injury Level (EIL) was defined as the pest population level at which the economic loss caused by pest damage equals the cost of control. The Economic Threshold (ET) was set at 80% of the EIL and used as an early warning indicator for initiating control actions. The Benefit–Cost Ratio (BCR) was calculated to evaluate the economic feasibility of pest control strategies, where BCR &gt; 1 indicates that control is economically beneficial, while BCR &lt; 1 suggests that control is not recommended. This analytical framework supported decision-making between two management options: allowing pest damage without control or implementing control measures to reduce yield loss and improve economic returns.</w:t>
      </w:r>
    </w:p>
    <w:p w14:paraId="5D1AFF45" w14:textId="77777777" w:rsidR="00863B3C" w:rsidRPr="00B84766" w:rsidRDefault="00863B3C" w:rsidP="00863B3C">
      <w:pPr>
        <w:pStyle w:val="BodyText"/>
        <w:spacing w:before="119"/>
        <w:ind w:left="270"/>
        <w:jc w:val="left"/>
        <w:rPr>
          <w:sz w:val="22"/>
          <w:szCs w:val="22"/>
        </w:rPr>
      </w:pPr>
    </w:p>
    <w:p w14:paraId="32384E7E" w14:textId="77777777" w:rsidR="00807CEC" w:rsidRPr="00B84766" w:rsidRDefault="00D2336B">
      <w:pPr>
        <w:pStyle w:val="Heading2"/>
        <w:numPr>
          <w:ilvl w:val="0"/>
          <w:numId w:val="2"/>
        </w:numPr>
        <w:tabs>
          <w:tab w:val="left" w:pos="555"/>
        </w:tabs>
        <w:ind w:left="555" w:hanging="268"/>
        <w:jc w:val="both"/>
        <w:rPr>
          <w:sz w:val="22"/>
          <w:szCs w:val="22"/>
        </w:rPr>
      </w:pPr>
      <w:r w:rsidRPr="00B84766">
        <w:rPr>
          <w:sz w:val="22"/>
          <w:szCs w:val="22"/>
        </w:rPr>
        <w:t>RESULTS</w:t>
      </w:r>
      <w:r w:rsidRPr="00B84766">
        <w:rPr>
          <w:spacing w:val="-4"/>
          <w:sz w:val="22"/>
          <w:szCs w:val="22"/>
        </w:rPr>
        <w:t xml:space="preserve"> </w:t>
      </w:r>
      <w:r w:rsidRPr="00B84766">
        <w:rPr>
          <w:sz w:val="22"/>
          <w:szCs w:val="22"/>
        </w:rPr>
        <w:t>AND</w:t>
      </w:r>
      <w:r w:rsidRPr="00B84766">
        <w:rPr>
          <w:spacing w:val="-4"/>
          <w:sz w:val="22"/>
          <w:szCs w:val="22"/>
        </w:rPr>
        <w:t xml:space="preserve"> </w:t>
      </w:r>
      <w:r w:rsidRPr="00B84766">
        <w:rPr>
          <w:spacing w:val="-2"/>
          <w:sz w:val="22"/>
          <w:szCs w:val="22"/>
        </w:rPr>
        <w:t>DISCUSSION</w:t>
      </w:r>
    </w:p>
    <w:p w14:paraId="352808C6" w14:textId="77777777" w:rsidR="00807CEC" w:rsidRPr="00B84766" w:rsidRDefault="00807CEC">
      <w:pPr>
        <w:pStyle w:val="Heading2"/>
        <w:jc w:val="both"/>
        <w:rPr>
          <w:sz w:val="22"/>
          <w:szCs w:val="22"/>
        </w:rPr>
      </w:pPr>
    </w:p>
    <w:p w14:paraId="3ADBB16E" w14:textId="1242485B" w:rsidR="00FA3F56" w:rsidRPr="00B84766" w:rsidRDefault="00446C43" w:rsidP="00FA3F56">
      <w:pPr>
        <w:pStyle w:val="BodyText"/>
        <w:spacing w:before="28"/>
        <w:rPr>
          <w:rFonts w:eastAsia="Times New Roman"/>
          <w:color w:val="000000"/>
          <w:sz w:val="22"/>
          <w:szCs w:val="22"/>
        </w:rPr>
      </w:pPr>
      <w:r w:rsidRPr="00B84766">
        <w:rPr>
          <w:rFonts w:eastAsia="Times New Roman"/>
          <w:color w:val="000000"/>
          <w:sz w:val="22"/>
          <w:szCs w:val="22"/>
        </w:rPr>
        <w:t>3</w:t>
      </w:r>
      <w:r w:rsidR="00FA3F56" w:rsidRPr="00B84766">
        <w:rPr>
          <w:rFonts w:eastAsia="Times New Roman"/>
          <w:color w:val="000000"/>
          <w:sz w:val="22"/>
          <w:szCs w:val="22"/>
        </w:rPr>
        <w:t>.1 Pest Population Dynamics and Economic Losses in Cherry Tomato Cultivation</w:t>
      </w:r>
    </w:p>
    <w:p w14:paraId="1932AC8B" w14:textId="77777777" w:rsidR="00FA3F56" w:rsidRPr="00B84766" w:rsidRDefault="00FA3F56" w:rsidP="00FA3F56">
      <w:pPr>
        <w:pStyle w:val="BodyText"/>
        <w:spacing w:before="28"/>
        <w:rPr>
          <w:rFonts w:eastAsia="Times New Roman"/>
          <w:color w:val="000000"/>
          <w:sz w:val="22"/>
          <w:szCs w:val="22"/>
        </w:rPr>
      </w:pPr>
    </w:p>
    <w:p w14:paraId="48121355"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The results of pest observations conducted on cherry tomato plants at one week after transplanting over eight observation periods within one month indicated that insect populations and crop damage fluctuated over time. A total of 164 insects were recorded within a 300 m² cultivation area during the study period (Table 1).</w:t>
      </w:r>
    </w:p>
    <w:p w14:paraId="5B124BF6"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Table 1. Pest population dynamics and economic losses in early growth stage of cherry tomato (300 m²)</w:t>
      </w:r>
    </w:p>
    <w:tbl>
      <w:tblPr>
        <w:tblW w:w="8607" w:type="dxa"/>
        <w:tblCellSpacing w:w="15" w:type="dxa"/>
        <w:tblInd w:w="567" w:type="dxa"/>
        <w:tblLayout w:type="fixed"/>
        <w:tblCellMar>
          <w:top w:w="15" w:type="dxa"/>
          <w:left w:w="15" w:type="dxa"/>
          <w:bottom w:w="15" w:type="dxa"/>
          <w:right w:w="15" w:type="dxa"/>
        </w:tblCellMar>
        <w:tblLook w:val="04A0" w:firstRow="1" w:lastRow="0" w:firstColumn="1" w:lastColumn="0" w:noHBand="0" w:noVBand="1"/>
      </w:tblPr>
      <w:tblGrid>
        <w:gridCol w:w="1249"/>
        <w:gridCol w:w="1161"/>
        <w:gridCol w:w="1343"/>
        <w:gridCol w:w="1735"/>
        <w:gridCol w:w="1418"/>
        <w:gridCol w:w="1701"/>
      </w:tblGrid>
      <w:tr w:rsidR="00FA3F56" w:rsidRPr="00FA3F56" w14:paraId="19300BCF" w14:textId="77777777" w:rsidTr="006430BE">
        <w:trPr>
          <w:tblHeader/>
          <w:tblCellSpacing w:w="15" w:type="dxa"/>
        </w:trPr>
        <w:tc>
          <w:tcPr>
            <w:tcW w:w="1204" w:type="dxa"/>
            <w:tcBorders>
              <w:top w:val="single" w:sz="4" w:space="0" w:color="auto"/>
              <w:bottom w:val="single" w:sz="4" w:space="0" w:color="auto"/>
            </w:tcBorders>
            <w:vAlign w:val="center"/>
            <w:hideMark/>
          </w:tcPr>
          <w:p w14:paraId="6AD8F1EA" w14:textId="2EAC8FCB" w:rsidR="00FA3F56" w:rsidRPr="00FA3F56" w:rsidRDefault="00FA3F56" w:rsidP="00FA3F56">
            <w:pPr>
              <w:adjustRightInd w:val="0"/>
              <w:snapToGrid w:val="0"/>
              <w:ind w:left="98" w:hanging="98"/>
              <w:jc w:val="center"/>
              <w:rPr>
                <w:rFonts w:eastAsia="Times New Roman"/>
                <w:b/>
                <w:bCs/>
                <w:lang w:val="id"/>
              </w:rPr>
            </w:pPr>
            <w:r w:rsidRPr="00B84766">
              <w:rPr>
                <w:rFonts w:eastAsia="Times New Roman"/>
                <w:color w:val="000000"/>
              </w:rPr>
              <w:tab/>
            </w:r>
            <w:r w:rsidRPr="007E23A8">
              <w:rPr>
                <w:rFonts w:eastAsia="Times New Roman"/>
                <w:b/>
                <w:bCs/>
                <w:sz w:val="18"/>
                <w:szCs w:val="18"/>
              </w:rPr>
              <w:t>Observation</w:t>
            </w:r>
          </w:p>
        </w:tc>
        <w:tc>
          <w:tcPr>
            <w:tcW w:w="1131" w:type="dxa"/>
            <w:tcBorders>
              <w:top w:val="single" w:sz="4" w:space="0" w:color="auto"/>
              <w:bottom w:val="single" w:sz="4" w:space="0" w:color="auto"/>
            </w:tcBorders>
            <w:vAlign w:val="center"/>
            <w:hideMark/>
          </w:tcPr>
          <w:p w14:paraId="1FC58CFB" w14:textId="4435EA1F" w:rsidR="00FA3F56" w:rsidRPr="00FA3F56" w:rsidRDefault="00FA3F56" w:rsidP="00FA3F56">
            <w:pPr>
              <w:adjustRightInd w:val="0"/>
              <w:snapToGrid w:val="0"/>
              <w:ind w:left="98" w:hanging="98"/>
              <w:jc w:val="center"/>
              <w:rPr>
                <w:rFonts w:eastAsia="Times New Roman"/>
                <w:b/>
                <w:bCs/>
                <w:lang w:val="id"/>
              </w:rPr>
            </w:pPr>
            <w:r w:rsidRPr="00B84766">
              <w:rPr>
                <w:rFonts w:eastAsia="Times New Roman"/>
                <w:b/>
                <w:bCs/>
              </w:rPr>
              <w:t>Total insects</w:t>
            </w:r>
            <w:r w:rsidRPr="00FA3F56">
              <w:rPr>
                <w:rFonts w:eastAsia="Times New Roman"/>
                <w:b/>
                <w:bCs/>
                <w:lang w:val="id"/>
              </w:rPr>
              <w:t xml:space="preserve"> (</w:t>
            </w:r>
            <w:r w:rsidRPr="00B84766">
              <w:rPr>
                <w:rFonts w:eastAsia="Times New Roman"/>
                <w:b/>
                <w:bCs/>
                <w:lang w:val="id"/>
              </w:rPr>
              <w:t>insects</w:t>
            </w:r>
            <w:r w:rsidRPr="00FA3F56">
              <w:rPr>
                <w:rFonts w:eastAsia="Times New Roman"/>
                <w:b/>
                <w:bCs/>
                <w:lang w:val="id"/>
              </w:rPr>
              <w:t>)</w:t>
            </w:r>
          </w:p>
        </w:tc>
        <w:tc>
          <w:tcPr>
            <w:tcW w:w="1313" w:type="dxa"/>
            <w:tcBorders>
              <w:top w:val="single" w:sz="4" w:space="0" w:color="auto"/>
              <w:bottom w:val="single" w:sz="4" w:space="0" w:color="auto"/>
            </w:tcBorders>
            <w:vAlign w:val="center"/>
            <w:hideMark/>
          </w:tcPr>
          <w:p w14:paraId="78BE2D1B" w14:textId="513FE51B" w:rsidR="00FA3F56" w:rsidRPr="00FA3F56" w:rsidRDefault="00FA3F56" w:rsidP="00FA3F56">
            <w:pPr>
              <w:adjustRightInd w:val="0"/>
              <w:snapToGrid w:val="0"/>
              <w:ind w:left="98" w:right="-67" w:hanging="98"/>
              <w:jc w:val="center"/>
              <w:rPr>
                <w:rFonts w:eastAsia="Times New Roman"/>
                <w:b/>
                <w:bCs/>
                <w:lang w:val="id"/>
              </w:rPr>
            </w:pPr>
            <w:r w:rsidRPr="00B84766">
              <w:rPr>
                <w:rFonts w:eastAsia="Times New Roman"/>
                <w:b/>
                <w:bCs/>
              </w:rPr>
              <w:t>Damage</w:t>
            </w:r>
            <w:r w:rsidRPr="00FA3F56">
              <w:rPr>
                <w:rFonts w:eastAsia="Times New Roman"/>
                <w:b/>
                <w:bCs/>
                <w:lang w:val="id"/>
              </w:rPr>
              <w:t xml:space="preserve"> (%)</w:t>
            </w:r>
            <w:r w:rsidR="006430BE">
              <w:rPr>
                <w:rFonts w:eastAsia="Times New Roman"/>
                <w:b/>
                <w:bCs/>
                <w:lang w:val="id"/>
              </w:rPr>
              <w:t xml:space="preserve"> </w:t>
            </w:r>
          </w:p>
        </w:tc>
        <w:tc>
          <w:tcPr>
            <w:tcW w:w="1705" w:type="dxa"/>
            <w:tcBorders>
              <w:top w:val="single" w:sz="4" w:space="0" w:color="auto"/>
              <w:bottom w:val="single" w:sz="4" w:space="0" w:color="auto"/>
            </w:tcBorders>
            <w:vAlign w:val="center"/>
            <w:hideMark/>
          </w:tcPr>
          <w:p w14:paraId="3EDBDDE9" w14:textId="285B2024" w:rsidR="00FA3F56" w:rsidRPr="00FA3F56" w:rsidRDefault="00FA3F56" w:rsidP="00FA3F56">
            <w:pPr>
              <w:adjustRightInd w:val="0"/>
              <w:snapToGrid w:val="0"/>
              <w:ind w:left="98" w:hanging="98"/>
              <w:jc w:val="center"/>
              <w:rPr>
                <w:rFonts w:eastAsia="Times New Roman"/>
                <w:b/>
                <w:bCs/>
                <w:lang w:val="id"/>
              </w:rPr>
            </w:pPr>
            <w:r w:rsidRPr="00B84766">
              <w:rPr>
                <w:rFonts w:eastAsia="Times New Roman"/>
                <w:b/>
                <w:bCs/>
              </w:rPr>
              <w:t>Yield loss</w:t>
            </w:r>
            <w:r w:rsidRPr="00FA3F56">
              <w:rPr>
                <w:rFonts w:eastAsia="Times New Roman"/>
                <w:b/>
                <w:bCs/>
                <w:lang w:val="id"/>
              </w:rPr>
              <w:t xml:space="preserve"> (kg)</w:t>
            </w:r>
          </w:p>
        </w:tc>
        <w:tc>
          <w:tcPr>
            <w:tcW w:w="1388" w:type="dxa"/>
            <w:tcBorders>
              <w:top w:val="single" w:sz="4" w:space="0" w:color="auto"/>
              <w:bottom w:val="single" w:sz="4" w:space="0" w:color="auto"/>
            </w:tcBorders>
            <w:vAlign w:val="center"/>
            <w:hideMark/>
          </w:tcPr>
          <w:p w14:paraId="20F3CFE3" w14:textId="3772F7F8" w:rsidR="00FA3F56" w:rsidRPr="00FA3F56" w:rsidRDefault="00FA3F56" w:rsidP="00FA3F56">
            <w:pPr>
              <w:adjustRightInd w:val="0"/>
              <w:snapToGrid w:val="0"/>
              <w:ind w:left="98" w:hanging="98"/>
              <w:jc w:val="center"/>
              <w:rPr>
                <w:rFonts w:eastAsia="Times New Roman"/>
                <w:b/>
                <w:bCs/>
                <w:lang w:val="id"/>
              </w:rPr>
            </w:pPr>
            <w:r w:rsidRPr="00B84766">
              <w:rPr>
                <w:rFonts w:eastAsia="Times New Roman"/>
                <w:b/>
                <w:bCs/>
              </w:rPr>
              <w:t>Economic loss (IDR)</w:t>
            </w:r>
            <w:r w:rsidR="00AA1910" w:rsidRPr="00AA1910">
              <w:rPr>
                <w:rFonts w:eastAsia="Times New Roman"/>
                <w:b/>
                <w:bCs/>
                <w:lang w:val="id"/>
              </w:rPr>
              <w:t xml:space="preserve"> </w:t>
            </w:r>
          </w:p>
        </w:tc>
        <w:tc>
          <w:tcPr>
            <w:tcW w:w="1656" w:type="dxa"/>
            <w:tcBorders>
              <w:top w:val="single" w:sz="4" w:space="0" w:color="auto"/>
              <w:bottom w:val="single" w:sz="4" w:space="0" w:color="auto"/>
            </w:tcBorders>
          </w:tcPr>
          <w:p w14:paraId="3CF835AD" w14:textId="1815FDC6" w:rsidR="00FA3F56" w:rsidRPr="00FA3F56" w:rsidRDefault="00FA3F56" w:rsidP="00FA3F56">
            <w:pPr>
              <w:adjustRightInd w:val="0"/>
              <w:snapToGrid w:val="0"/>
              <w:ind w:left="98" w:hanging="98"/>
              <w:jc w:val="center"/>
              <w:rPr>
                <w:rFonts w:eastAsia="Times New Roman"/>
                <w:b/>
                <w:bCs/>
                <w:lang w:val="id"/>
              </w:rPr>
            </w:pPr>
            <w:r w:rsidRPr="00B84766">
              <w:rPr>
                <w:rFonts w:eastAsia="Times New Roman"/>
                <w:b/>
                <w:bCs/>
              </w:rPr>
              <w:t>Cumulative loss (IDR)</w:t>
            </w:r>
          </w:p>
        </w:tc>
      </w:tr>
      <w:tr w:rsidR="00FA3F56" w:rsidRPr="00FA3F56" w14:paraId="68EA95E4" w14:textId="77777777" w:rsidTr="006430BE">
        <w:trPr>
          <w:tblCellSpacing w:w="15" w:type="dxa"/>
        </w:trPr>
        <w:tc>
          <w:tcPr>
            <w:tcW w:w="1204" w:type="dxa"/>
            <w:vAlign w:val="center"/>
            <w:hideMark/>
          </w:tcPr>
          <w:p w14:paraId="6341D57F"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w:t>
            </w:r>
          </w:p>
        </w:tc>
        <w:tc>
          <w:tcPr>
            <w:tcW w:w="1131" w:type="dxa"/>
            <w:vAlign w:val="center"/>
            <w:hideMark/>
          </w:tcPr>
          <w:p w14:paraId="6FA8460C"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11</w:t>
            </w:r>
          </w:p>
        </w:tc>
        <w:tc>
          <w:tcPr>
            <w:tcW w:w="1313" w:type="dxa"/>
            <w:vAlign w:val="center"/>
            <w:hideMark/>
          </w:tcPr>
          <w:p w14:paraId="25941D31"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0,022</w:t>
            </w:r>
          </w:p>
        </w:tc>
        <w:tc>
          <w:tcPr>
            <w:tcW w:w="1705" w:type="dxa"/>
            <w:vAlign w:val="center"/>
            <w:hideMark/>
          </w:tcPr>
          <w:p w14:paraId="3E30AAC1"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0,33</w:t>
            </w:r>
          </w:p>
        </w:tc>
        <w:tc>
          <w:tcPr>
            <w:tcW w:w="1388" w:type="dxa"/>
            <w:vAlign w:val="center"/>
            <w:hideMark/>
          </w:tcPr>
          <w:p w14:paraId="6C1392AA"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3.300</w:t>
            </w:r>
          </w:p>
        </w:tc>
        <w:tc>
          <w:tcPr>
            <w:tcW w:w="1656" w:type="dxa"/>
            <w:tcBorders>
              <w:top w:val="nil"/>
              <w:left w:val="nil"/>
              <w:bottom w:val="nil"/>
              <w:right w:val="nil"/>
            </w:tcBorders>
            <w:shd w:val="clear" w:color="000000" w:fill="FFFFFF"/>
            <w:vAlign w:val="center"/>
          </w:tcPr>
          <w:p w14:paraId="45EE7AD2"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3,300</w:t>
            </w:r>
          </w:p>
        </w:tc>
      </w:tr>
      <w:tr w:rsidR="00FA3F56" w:rsidRPr="00FA3F56" w14:paraId="01B37BBB" w14:textId="77777777" w:rsidTr="006430BE">
        <w:trPr>
          <w:tblCellSpacing w:w="15" w:type="dxa"/>
        </w:trPr>
        <w:tc>
          <w:tcPr>
            <w:tcW w:w="1204" w:type="dxa"/>
            <w:vAlign w:val="center"/>
            <w:hideMark/>
          </w:tcPr>
          <w:p w14:paraId="0A85303C"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2</w:t>
            </w:r>
          </w:p>
        </w:tc>
        <w:tc>
          <w:tcPr>
            <w:tcW w:w="1131" w:type="dxa"/>
            <w:vAlign w:val="center"/>
            <w:hideMark/>
          </w:tcPr>
          <w:p w14:paraId="3298308F"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14</w:t>
            </w:r>
          </w:p>
        </w:tc>
        <w:tc>
          <w:tcPr>
            <w:tcW w:w="1313" w:type="dxa"/>
            <w:vAlign w:val="center"/>
            <w:hideMark/>
          </w:tcPr>
          <w:p w14:paraId="138BB1B9"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0,028</w:t>
            </w:r>
          </w:p>
        </w:tc>
        <w:tc>
          <w:tcPr>
            <w:tcW w:w="1705" w:type="dxa"/>
            <w:vAlign w:val="center"/>
            <w:hideMark/>
          </w:tcPr>
          <w:p w14:paraId="712DBC87"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0,42</w:t>
            </w:r>
          </w:p>
        </w:tc>
        <w:tc>
          <w:tcPr>
            <w:tcW w:w="1388" w:type="dxa"/>
            <w:vAlign w:val="center"/>
            <w:hideMark/>
          </w:tcPr>
          <w:p w14:paraId="02A67B56"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4.200</w:t>
            </w:r>
          </w:p>
        </w:tc>
        <w:tc>
          <w:tcPr>
            <w:tcW w:w="1656" w:type="dxa"/>
            <w:tcBorders>
              <w:top w:val="nil"/>
              <w:left w:val="nil"/>
              <w:bottom w:val="nil"/>
              <w:right w:val="nil"/>
            </w:tcBorders>
            <w:shd w:val="clear" w:color="000000" w:fill="FFFFFF"/>
            <w:vAlign w:val="center"/>
          </w:tcPr>
          <w:p w14:paraId="47D6421F"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7,500</w:t>
            </w:r>
          </w:p>
        </w:tc>
      </w:tr>
      <w:tr w:rsidR="00FA3F56" w:rsidRPr="00FA3F56" w14:paraId="66F17C8C" w14:textId="77777777" w:rsidTr="006430BE">
        <w:trPr>
          <w:tblCellSpacing w:w="15" w:type="dxa"/>
        </w:trPr>
        <w:tc>
          <w:tcPr>
            <w:tcW w:w="1204" w:type="dxa"/>
            <w:vAlign w:val="center"/>
            <w:hideMark/>
          </w:tcPr>
          <w:p w14:paraId="5D9E5E98"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3</w:t>
            </w:r>
          </w:p>
        </w:tc>
        <w:tc>
          <w:tcPr>
            <w:tcW w:w="1131" w:type="dxa"/>
            <w:vAlign w:val="center"/>
            <w:hideMark/>
          </w:tcPr>
          <w:p w14:paraId="1F9FC6C3"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4</w:t>
            </w:r>
          </w:p>
        </w:tc>
        <w:tc>
          <w:tcPr>
            <w:tcW w:w="1313" w:type="dxa"/>
            <w:vAlign w:val="center"/>
            <w:hideMark/>
          </w:tcPr>
          <w:p w14:paraId="4F98F3A4"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0,008</w:t>
            </w:r>
          </w:p>
        </w:tc>
        <w:tc>
          <w:tcPr>
            <w:tcW w:w="1705" w:type="dxa"/>
            <w:vAlign w:val="center"/>
            <w:hideMark/>
          </w:tcPr>
          <w:p w14:paraId="39C7BB63"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0,12</w:t>
            </w:r>
          </w:p>
        </w:tc>
        <w:tc>
          <w:tcPr>
            <w:tcW w:w="1388" w:type="dxa"/>
            <w:vAlign w:val="center"/>
            <w:hideMark/>
          </w:tcPr>
          <w:p w14:paraId="3E6C9284"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1.200</w:t>
            </w:r>
          </w:p>
        </w:tc>
        <w:tc>
          <w:tcPr>
            <w:tcW w:w="1656" w:type="dxa"/>
            <w:tcBorders>
              <w:top w:val="nil"/>
              <w:left w:val="nil"/>
              <w:bottom w:val="nil"/>
              <w:right w:val="nil"/>
            </w:tcBorders>
            <w:shd w:val="clear" w:color="000000" w:fill="FFFFFF"/>
            <w:vAlign w:val="center"/>
          </w:tcPr>
          <w:p w14:paraId="663DABB7"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8,700</w:t>
            </w:r>
          </w:p>
        </w:tc>
      </w:tr>
      <w:tr w:rsidR="00FA3F56" w:rsidRPr="00FA3F56" w14:paraId="79FD314B" w14:textId="77777777" w:rsidTr="006430BE">
        <w:trPr>
          <w:tblCellSpacing w:w="15" w:type="dxa"/>
        </w:trPr>
        <w:tc>
          <w:tcPr>
            <w:tcW w:w="1204" w:type="dxa"/>
            <w:vAlign w:val="center"/>
            <w:hideMark/>
          </w:tcPr>
          <w:p w14:paraId="5943E45E"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4</w:t>
            </w:r>
          </w:p>
        </w:tc>
        <w:tc>
          <w:tcPr>
            <w:tcW w:w="1131" w:type="dxa"/>
            <w:vAlign w:val="center"/>
            <w:hideMark/>
          </w:tcPr>
          <w:p w14:paraId="1C9CDE5D"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42</w:t>
            </w:r>
          </w:p>
        </w:tc>
        <w:tc>
          <w:tcPr>
            <w:tcW w:w="1313" w:type="dxa"/>
            <w:vAlign w:val="center"/>
            <w:hideMark/>
          </w:tcPr>
          <w:p w14:paraId="490B650F"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0,084</w:t>
            </w:r>
          </w:p>
        </w:tc>
        <w:tc>
          <w:tcPr>
            <w:tcW w:w="1705" w:type="dxa"/>
            <w:vAlign w:val="center"/>
            <w:hideMark/>
          </w:tcPr>
          <w:p w14:paraId="5530D108"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1,26</w:t>
            </w:r>
          </w:p>
        </w:tc>
        <w:tc>
          <w:tcPr>
            <w:tcW w:w="1388" w:type="dxa"/>
            <w:vAlign w:val="center"/>
            <w:hideMark/>
          </w:tcPr>
          <w:p w14:paraId="4CCFFEEA"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12.600</w:t>
            </w:r>
          </w:p>
        </w:tc>
        <w:tc>
          <w:tcPr>
            <w:tcW w:w="1656" w:type="dxa"/>
            <w:tcBorders>
              <w:top w:val="nil"/>
              <w:left w:val="nil"/>
              <w:bottom w:val="nil"/>
              <w:right w:val="nil"/>
            </w:tcBorders>
            <w:shd w:val="clear" w:color="000000" w:fill="FFFFFF"/>
            <w:vAlign w:val="center"/>
          </w:tcPr>
          <w:p w14:paraId="62733D22"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21,300</w:t>
            </w:r>
          </w:p>
        </w:tc>
      </w:tr>
      <w:tr w:rsidR="00FA3F56" w:rsidRPr="00FA3F56" w14:paraId="28A9FDAC" w14:textId="77777777" w:rsidTr="006430BE">
        <w:trPr>
          <w:tblCellSpacing w:w="15" w:type="dxa"/>
        </w:trPr>
        <w:tc>
          <w:tcPr>
            <w:tcW w:w="1204" w:type="dxa"/>
            <w:vAlign w:val="center"/>
            <w:hideMark/>
          </w:tcPr>
          <w:p w14:paraId="0158F253"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5</w:t>
            </w:r>
          </w:p>
        </w:tc>
        <w:tc>
          <w:tcPr>
            <w:tcW w:w="1131" w:type="dxa"/>
            <w:vAlign w:val="center"/>
            <w:hideMark/>
          </w:tcPr>
          <w:p w14:paraId="4C55192B"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9</w:t>
            </w:r>
          </w:p>
        </w:tc>
        <w:tc>
          <w:tcPr>
            <w:tcW w:w="1313" w:type="dxa"/>
            <w:vAlign w:val="center"/>
            <w:hideMark/>
          </w:tcPr>
          <w:p w14:paraId="77B3573E"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0,018</w:t>
            </w:r>
          </w:p>
        </w:tc>
        <w:tc>
          <w:tcPr>
            <w:tcW w:w="1705" w:type="dxa"/>
            <w:vAlign w:val="center"/>
            <w:hideMark/>
          </w:tcPr>
          <w:p w14:paraId="3626DBE9"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0,27</w:t>
            </w:r>
          </w:p>
        </w:tc>
        <w:tc>
          <w:tcPr>
            <w:tcW w:w="1388" w:type="dxa"/>
            <w:vAlign w:val="center"/>
            <w:hideMark/>
          </w:tcPr>
          <w:p w14:paraId="0BCF5330"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2.700</w:t>
            </w:r>
          </w:p>
        </w:tc>
        <w:tc>
          <w:tcPr>
            <w:tcW w:w="1656" w:type="dxa"/>
            <w:tcBorders>
              <w:top w:val="nil"/>
              <w:left w:val="nil"/>
              <w:bottom w:val="nil"/>
              <w:right w:val="nil"/>
            </w:tcBorders>
            <w:shd w:val="clear" w:color="000000" w:fill="FFFFFF"/>
            <w:vAlign w:val="center"/>
          </w:tcPr>
          <w:p w14:paraId="2BB70E3D"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24,000</w:t>
            </w:r>
          </w:p>
        </w:tc>
      </w:tr>
      <w:tr w:rsidR="00FA3F56" w:rsidRPr="00FA3F56" w14:paraId="4BD08652" w14:textId="77777777" w:rsidTr="006430BE">
        <w:trPr>
          <w:tblCellSpacing w:w="15" w:type="dxa"/>
        </w:trPr>
        <w:tc>
          <w:tcPr>
            <w:tcW w:w="1204" w:type="dxa"/>
            <w:vAlign w:val="center"/>
            <w:hideMark/>
          </w:tcPr>
          <w:p w14:paraId="1C757C37"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6</w:t>
            </w:r>
          </w:p>
        </w:tc>
        <w:tc>
          <w:tcPr>
            <w:tcW w:w="1131" w:type="dxa"/>
            <w:vAlign w:val="center"/>
            <w:hideMark/>
          </w:tcPr>
          <w:p w14:paraId="622AFD74"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30</w:t>
            </w:r>
          </w:p>
        </w:tc>
        <w:tc>
          <w:tcPr>
            <w:tcW w:w="1313" w:type="dxa"/>
            <w:vAlign w:val="center"/>
            <w:hideMark/>
          </w:tcPr>
          <w:p w14:paraId="264A432D"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0,060</w:t>
            </w:r>
          </w:p>
        </w:tc>
        <w:tc>
          <w:tcPr>
            <w:tcW w:w="1705" w:type="dxa"/>
            <w:vAlign w:val="center"/>
            <w:hideMark/>
          </w:tcPr>
          <w:p w14:paraId="09FFEEBE"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0,90</w:t>
            </w:r>
          </w:p>
        </w:tc>
        <w:tc>
          <w:tcPr>
            <w:tcW w:w="1388" w:type="dxa"/>
            <w:vAlign w:val="center"/>
            <w:hideMark/>
          </w:tcPr>
          <w:p w14:paraId="3A7696E3"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9.000</w:t>
            </w:r>
          </w:p>
        </w:tc>
        <w:tc>
          <w:tcPr>
            <w:tcW w:w="1656" w:type="dxa"/>
            <w:tcBorders>
              <w:top w:val="nil"/>
              <w:left w:val="nil"/>
              <w:bottom w:val="nil"/>
              <w:right w:val="nil"/>
            </w:tcBorders>
            <w:shd w:val="clear" w:color="000000" w:fill="FFFFFF"/>
            <w:vAlign w:val="center"/>
          </w:tcPr>
          <w:p w14:paraId="72874E37"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33,000</w:t>
            </w:r>
          </w:p>
        </w:tc>
      </w:tr>
      <w:tr w:rsidR="00FA3F56" w:rsidRPr="00FA3F56" w14:paraId="461C5FCC" w14:textId="77777777" w:rsidTr="006430BE">
        <w:trPr>
          <w:tblCellSpacing w:w="15" w:type="dxa"/>
        </w:trPr>
        <w:tc>
          <w:tcPr>
            <w:tcW w:w="1204" w:type="dxa"/>
            <w:vAlign w:val="center"/>
            <w:hideMark/>
          </w:tcPr>
          <w:p w14:paraId="19BDD8D3"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7</w:t>
            </w:r>
          </w:p>
        </w:tc>
        <w:tc>
          <w:tcPr>
            <w:tcW w:w="1131" w:type="dxa"/>
            <w:vAlign w:val="center"/>
            <w:hideMark/>
          </w:tcPr>
          <w:p w14:paraId="2333D2BF"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27</w:t>
            </w:r>
          </w:p>
        </w:tc>
        <w:tc>
          <w:tcPr>
            <w:tcW w:w="1313" w:type="dxa"/>
            <w:vAlign w:val="center"/>
            <w:hideMark/>
          </w:tcPr>
          <w:p w14:paraId="1628B6CA"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0,054</w:t>
            </w:r>
          </w:p>
        </w:tc>
        <w:tc>
          <w:tcPr>
            <w:tcW w:w="1705" w:type="dxa"/>
            <w:vAlign w:val="center"/>
            <w:hideMark/>
          </w:tcPr>
          <w:p w14:paraId="32F92F36"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0,81</w:t>
            </w:r>
          </w:p>
        </w:tc>
        <w:tc>
          <w:tcPr>
            <w:tcW w:w="1388" w:type="dxa"/>
            <w:vAlign w:val="center"/>
            <w:hideMark/>
          </w:tcPr>
          <w:p w14:paraId="1C94FD91"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8.100</w:t>
            </w:r>
          </w:p>
        </w:tc>
        <w:tc>
          <w:tcPr>
            <w:tcW w:w="1656" w:type="dxa"/>
            <w:tcBorders>
              <w:top w:val="nil"/>
              <w:left w:val="nil"/>
              <w:bottom w:val="nil"/>
              <w:right w:val="nil"/>
            </w:tcBorders>
            <w:shd w:val="clear" w:color="000000" w:fill="FFFFFF"/>
            <w:vAlign w:val="center"/>
          </w:tcPr>
          <w:p w14:paraId="1AD05A14"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41,100</w:t>
            </w:r>
          </w:p>
        </w:tc>
      </w:tr>
      <w:tr w:rsidR="00FA3F56" w:rsidRPr="00FA3F56" w14:paraId="3E96E7F5" w14:textId="77777777" w:rsidTr="006430BE">
        <w:trPr>
          <w:tblCellSpacing w:w="15" w:type="dxa"/>
        </w:trPr>
        <w:tc>
          <w:tcPr>
            <w:tcW w:w="1204" w:type="dxa"/>
            <w:vAlign w:val="center"/>
            <w:hideMark/>
          </w:tcPr>
          <w:p w14:paraId="4993E73B"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8</w:t>
            </w:r>
          </w:p>
        </w:tc>
        <w:tc>
          <w:tcPr>
            <w:tcW w:w="1131" w:type="dxa"/>
            <w:vAlign w:val="center"/>
            <w:hideMark/>
          </w:tcPr>
          <w:p w14:paraId="4A1A9F45"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27</w:t>
            </w:r>
          </w:p>
        </w:tc>
        <w:tc>
          <w:tcPr>
            <w:tcW w:w="1313" w:type="dxa"/>
            <w:vAlign w:val="center"/>
            <w:hideMark/>
          </w:tcPr>
          <w:p w14:paraId="7A5CF5ED"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0,054</w:t>
            </w:r>
          </w:p>
        </w:tc>
        <w:tc>
          <w:tcPr>
            <w:tcW w:w="1705" w:type="dxa"/>
            <w:vAlign w:val="center"/>
            <w:hideMark/>
          </w:tcPr>
          <w:p w14:paraId="5B537976"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0,81</w:t>
            </w:r>
          </w:p>
        </w:tc>
        <w:tc>
          <w:tcPr>
            <w:tcW w:w="1388" w:type="dxa"/>
            <w:vAlign w:val="center"/>
            <w:hideMark/>
          </w:tcPr>
          <w:p w14:paraId="2C678128" w14:textId="77777777" w:rsidR="00FA3F56" w:rsidRPr="00FA3F56" w:rsidRDefault="00FA3F56" w:rsidP="00FA3F56">
            <w:pPr>
              <w:adjustRightInd w:val="0"/>
              <w:snapToGrid w:val="0"/>
              <w:jc w:val="center"/>
              <w:rPr>
                <w:rFonts w:eastAsia="Times New Roman"/>
                <w:lang w:val="id"/>
              </w:rPr>
            </w:pPr>
            <w:r w:rsidRPr="00FA3F56">
              <w:rPr>
                <w:rFonts w:eastAsia="Times New Roman"/>
                <w:lang w:val="id"/>
              </w:rPr>
              <w:t>8.100</w:t>
            </w:r>
          </w:p>
        </w:tc>
        <w:tc>
          <w:tcPr>
            <w:tcW w:w="1656" w:type="dxa"/>
            <w:tcBorders>
              <w:top w:val="nil"/>
              <w:left w:val="nil"/>
              <w:bottom w:val="nil"/>
              <w:right w:val="nil"/>
            </w:tcBorders>
            <w:shd w:val="clear" w:color="000000" w:fill="FFFFFF"/>
            <w:vAlign w:val="center"/>
          </w:tcPr>
          <w:p w14:paraId="19D2947B" w14:textId="77777777" w:rsidR="00FA3F56" w:rsidRPr="00FA3F56" w:rsidRDefault="00FA3F56" w:rsidP="00FA3F56">
            <w:pPr>
              <w:adjustRightInd w:val="0"/>
              <w:snapToGrid w:val="0"/>
              <w:jc w:val="center"/>
              <w:rPr>
                <w:rFonts w:eastAsia="Times New Roman"/>
                <w:lang w:val="id"/>
              </w:rPr>
            </w:pPr>
            <w:r w:rsidRPr="00FA3F56">
              <w:rPr>
                <w:rFonts w:eastAsia="Times New Roman"/>
                <w:color w:val="0F1115"/>
                <w:lang w:val="id"/>
              </w:rPr>
              <w:t>49,200</w:t>
            </w:r>
          </w:p>
        </w:tc>
      </w:tr>
      <w:tr w:rsidR="00FA3F56" w:rsidRPr="00FA3F56" w14:paraId="3C4FEBED" w14:textId="77777777" w:rsidTr="006430BE">
        <w:trPr>
          <w:tblCellSpacing w:w="15" w:type="dxa"/>
        </w:trPr>
        <w:tc>
          <w:tcPr>
            <w:tcW w:w="1204" w:type="dxa"/>
            <w:tcBorders>
              <w:top w:val="single" w:sz="4" w:space="0" w:color="auto"/>
              <w:bottom w:val="single" w:sz="4" w:space="0" w:color="auto"/>
            </w:tcBorders>
            <w:vAlign w:val="center"/>
            <w:hideMark/>
          </w:tcPr>
          <w:p w14:paraId="3E4D8177" w14:textId="77777777" w:rsidR="00FA3F56" w:rsidRPr="00FA3F56" w:rsidRDefault="00FA3F56" w:rsidP="00FA3F56">
            <w:pPr>
              <w:adjustRightInd w:val="0"/>
              <w:snapToGrid w:val="0"/>
              <w:jc w:val="center"/>
              <w:rPr>
                <w:rFonts w:eastAsia="Times New Roman"/>
                <w:lang w:val="id"/>
              </w:rPr>
            </w:pPr>
            <w:r w:rsidRPr="00FA3F56">
              <w:rPr>
                <w:rFonts w:eastAsia="Times New Roman"/>
                <w:b/>
                <w:bCs/>
                <w:lang w:val="id"/>
              </w:rPr>
              <w:t>Total</w:t>
            </w:r>
          </w:p>
        </w:tc>
        <w:tc>
          <w:tcPr>
            <w:tcW w:w="1131" w:type="dxa"/>
            <w:tcBorders>
              <w:top w:val="single" w:sz="4" w:space="0" w:color="auto"/>
              <w:bottom w:val="single" w:sz="4" w:space="0" w:color="auto"/>
            </w:tcBorders>
            <w:vAlign w:val="center"/>
            <w:hideMark/>
          </w:tcPr>
          <w:p w14:paraId="3E6C7571" w14:textId="77777777" w:rsidR="00FA3F56" w:rsidRPr="00FA3F56" w:rsidRDefault="00FA3F56" w:rsidP="00FA3F56">
            <w:pPr>
              <w:adjustRightInd w:val="0"/>
              <w:snapToGrid w:val="0"/>
              <w:jc w:val="center"/>
              <w:rPr>
                <w:rFonts w:eastAsia="Times New Roman"/>
                <w:lang w:val="id"/>
              </w:rPr>
            </w:pPr>
            <w:r w:rsidRPr="00FA3F56">
              <w:rPr>
                <w:rFonts w:eastAsia="Times New Roman"/>
                <w:b/>
                <w:bCs/>
                <w:lang w:val="id"/>
              </w:rPr>
              <w:t>164</w:t>
            </w:r>
          </w:p>
        </w:tc>
        <w:tc>
          <w:tcPr>
            <w:tcW w:w="1313" w:type="dxa"/>
            <w:tcBorders>
              <w:top w:val="single" w:sz="4" w:space="0" w:color="auto"/>
              <w:bottom w:val="single" w:sz="4" w:space="0" w:color="auto"/>
            </w:tcBorders>
            <w:vAlign w:val="center"/>
            <w:hideMark/>
          </w:tcPr>
          <w:p w14:paraId="61E24744" w14:textId="77777777" w:rsidR="00FA3F56" w:rsidRPr="00FA3F56" w:rsidRDefault="00FA3F56" w:rsidP="00FA3F56">
            <w:pPr>
              <w:adjustRightInd w:val="0"/>
              <w:snapToGrid w:val="0"/>
              <w:jc w:val="center"/>
              <w:rPr>
                <w:rFonts w:eastAsia="Times New Roman"/>
                <w:lang w:val="id"/>
              </w:rPr>
            </w:pPr>
            <w:r w:rsidRPr="00FA3F56">
              <w:rPr>
                <w:rFonts w:eastAsia="Times New Roman"/>
                <w:b/>
                <w:bCs/>
                <w:lang w:val="id"/>
              </w:rPr>
              <w:t>0,492</w:t>
            </w:r>
          </w:p>
        </w:tc>
        <w:tc>
          <w:tcPr>
            <w:tcW w:w="1705" w:type="dxa"/>
            <w:tcBorders>
              <w:top w:val="single" w:sz="4" w:space="0" w:color="auto"/>
              <w:bottom w:val="single" w:sz="4" w:space="0" w:color="auto"/>
            </w:tcBorders>
            <w:vAlign w:val="center"/>
            <w:hideMark/>
          </w:tcPr>
          <w:p w14:paraId="40D4E607" w14:textId="77777777" w:rsidR="00FA3F56" w:rsidRPr="00FA3F56" w:rsidRDefault="00FA3F56" w:rsidP="00FA3F56">
            <w:pPr>
              <w:adjustRightInd w:val="0"/>
              <w:snapToGrid w:val="0"/>
              <w:jc w:val="center"/>
              <w:rPr>
                <w:rFonts w:eastAsia="Times New Roman"/>
                <w:lang w:val="id"/>
              </w:rPr>
            </w:pPr>
            <w:r w:rsidRPr="00FA3F56">
              <w:rPr>
                <w:rFonts w:eastAsia="Times New Roman"/>
                <w:b/>
                <w:bCs/>
                <w:lang w:val="id"/>
              </w:rPr>
              <w:t>4,92</w:t>
            </w:r>
          </w:p>
        </w:tc>
        <w:tc>
          <w:tcPr>
            <w:tcW w:w="1388" w:type="dxa"/>
            <w:tcBorders>
              <w:top w:val="single" w:sz="4" w:space="0" w:color="auto"/>
              <w:bottom w:val="single" w:sz="4" w:space="0" w:color="auto"/>
            </w:tcBorders>
            <w:vAlign w:val="center"/>
            <w:hideMark/>
          </w:tcPr>
          <w:p w14:paraId="42896AB7" w14:textId="77777777" w:rsidR="00FA3F56" w:rsidRPr="00FA3F56" w:rsidRDefault="00FA3F56" w:rsidP="00FA3F56">
            <w:pPr>
              <w:adjustRightInd w:val="0"/>
              <w:snapToGrid w:val="0"/>
              <w:jc w:val="center"/>
              <w:rPr>
                <w:rFonts w:eastAsia="Times New Roman"/>
                <w:lang w:val="id"/>
              </w:rPr>
            </w:pPr>
            <w:r w:rsidRPr="00FA3F56">
              <w:rPr>
                <w:rFonts w:eastAsia="Times New Roman"/>
                <w:b/>
                <w:bCs/>
                <w:lang w:val="id"/>
              </w:rPr>
              <w:t>49.200</w:t>
            </w:r>
          </w:p>
        </w:tc>
        <w:tc>
          <w:tcPr>
            <w:tcW w:w="1656" w:type="dxa"/>
            <w:tcBorders>
              <w:top w:val="single" w:sz="4" w:space="0" w:color="auto"/>
              <w:bottom w:val="single" w:sz="4" w:space="0" w:color="auto"/>
            </w:tcBorders>
          </w:tcPr>
          <w:p w14:paraId="2CCFD5F5" w14:textId="77777777" w:rsidR="00FA3F56" w:rsidRPr="00FA3F56" w:rsidRDefault="00FA3F56" w:rsidP="00FA3F56">
            <w:pPr>
              <w:adjustRightInd w:val="0"/>
              <w:snapToGrid w:val="0"/>
              <w:jc w:val="center"/>
              <w:rPr>
                <w:rFonts w:eastAsia="Times New Roman"/>
                <w:b/>
                <w:bCs/>
                <w:lang w:val="id"/>
              </w:rPr>
            </w:pPr>
          </w:p>
        </w:tc>
      </w:tr>
    </w:tbl>
    <w:p w14:paraId="2A8B6DAA" w14:textId="06662F01"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Source: Processed primary data (2025)</w:t>
      </w:r>
    </w:p>
    <w:p w14:paraId="526A85B8" w14:textId="77777777" w:rsidR="00FA3F56" w:rsidRPr="00B84766" w:rsidRDefault="00FA3F56" w:rsidP="00FA3F56">
      <w:pPr>
        <w:pStyle w:val="BodyText"/>
        <w:spacing w:before="28"/>
        <w:rPr>
          <w:rFonts w:eastAsia="Times New Roman"/>
          <w:color w:val="000000"/>
          <w:sz w:val="22"/>
          <w:szCs w:val="22"/>
        </w:rPr>
      </w:pPr>
    </w:p>
    <w:p w14:paraId="0F5C549C"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During the first three observations, pest populations were relatively low (4–14 individuals), resulting in minimal crop damage (&lt;0.06%) and cumulative economic losses of IDR 8,700. A sharp increase in pest population occurred during the fourth observation, reaching 42 individuals, which corresponded to the highest recorded damage (0.084%), yield loss (1.26 kg), and single-observation economic loss (IDR 12,600).</w:t>
      </w:r>
    </w:p>
    <w:p w14:paraId="3AC117C9" w14:textId="77777777" w:rsidR="00FA3F56" w:rsidRPr="00B84766" w:rsidRDefault="00FA3F56" w:rsidP="00D71097">
      <w:pPr>
        <w:pStyle w:val="BodyText"/>
        <w:spacing w:before="240"/>
        <w:rPr>
          <w:rFonts w:eastAsia="Times New Roman"/>
          <w:color w:val="000000"/>
          <w:sz w:val="22"/>
          <w:szCs w:val="22"/>
        </w:rPr>
      </w:pPr>
      <w:r w:rsidRPr="00B84766">
        <w:rPr>
          <w:rFonts w:eastAsia="Times New Roman"/>
          <w:color w:val="000000"/>
          <w:sz w:val="22"/>
          <w:szCs w:val="22"/>
        </w:rPr>
        <w:t xml:space="preserve">This population surge was likely influenced by favorable environmental conditions. According to </w:t>
      </w:r>
      <w:proofErr w:type="spellStart"/>
      <w:proofErr w:type="gramStart"/>
      <w:r w:rsidRPr="00B84766">
        <w:rPr>
          <w:rFonts w:eastAsia="Times New Roman"/>
          <w:color w:val="000000"/>
          <w:sz w:val="22"/>
          <w:szCs w:val="22"/>
        </w:rPr>
        <w:t>Id.climate</w:t>
      </w:r>
      <w:proofErr w:type="spellEnd"/>
      <w:proofErr w:type="gramEnd"/>
      <w:r w:rsidRPr="00B84766">
        <w:rPr>
          <w:rFonts w:eastAsia="Times New Roman"/>
          <w:color w:val="000000"/>
          <w:sz w:val="22"/>
          <w:szCs w:val="22"/>
        </w:rPr>
        <w:t xml:space="preserve">-org (2025), the fourth observation coincided with the highest rainfall (25.8 mm) and relative humidity (86%) recorded during the month, which are known to enhance pest development. In subsequent observations, pest populations fluctuated between 9 and 30 individuals, with economic losses ranging from IDR 2,700 to IDR </w:t>
      </w:r>
      <w:r w:rsidRPr="00B84766">
        <w:rPr>
          <w:rFonts w:eastAsia="Times New Roman"/>
          <w:color w:val="000000"/>
          <w:sz w:val="22"/>
          <w:szCs w:val="22"/>
        </w:rPr>
        <w:lastRenderedPageBreak/>
        <w:t>9,000 per observation. Overall, cumulative yield loss reached 4.92 kg, equivalent to a total economic loss of IDR 49,200.</w:t>
      </w:r>
    </w:p>
    <w:p w14:paraId="1CBA3A89" w14:textId="77777777" w:rsidR="00FA3F56" w:rsidRDefault="00FA3F56" w:rsidP="00FA3F56">
      <w:pPr>
        <w:pStyle w:val="BodyText"/>
        <w:spacing w:before="28"/>
        <w:rPr>
          <w:rFonts w:eastAsia="Times New Roman"/>
          <w:color w:val="000000"/>
          <w:sz w:val="22"/>
          <w:szCs w:val="22"/>
        </w:rPr>
      </w:pPr>
    </w:p>
    <w:p w14:paraId="2F645C4F" w14:textId="12734125" w:rsidR="00FA3F56" w:rsidRPr="00B84766" w:rsidRDefault="00446C43" w:rsidP="00FA3F56">
      <w:pPr>
        <w:pStyle w:val="BodyText"/>
        <w:spacing w:before="28"/>
        <w:rPr>
          <w:rFonts w:eastAsia="Times New Roman"/>
          <w:color w:val="000000"/>
          <w:sz w:val="22"/>
          <w:szCs w:val="22"/>
        </w:rPr>
      </w:pPr>
      <w:r w:rsidRPr="00B84766">
        <w:rPr>
          <w:rFonts w:eastAsia="Times New Roman"/>
          <w:color w:val="000000"/>
          <w:sz w:val="22"/>
          <w:szCs w:val="22"/>
        </w:rPr>
        <w:t>3</w:t>
      </w:r>
      <w:r w:rsidR="00FA3F56" w:rsidRPr="00B84766">
        <w:rPr>
          <w:rFonts w:eastAsia="Times New Roman"/>
          <w:color w:val="000000"/>
          <w:sz w:val="22"/>
          <w:szCs w:val="22"/>
        </w:rPr>
        <w:t>.2 Economic Injury Level and Threshold Analysis</w:t>
      </w:r>
    </w:p>
    <w:p w14:paraId="38360191" w14:textId="77777777" w:rsidR="00FA3F56" w:rsidRPr="00B84766" w:rsidRDefault="00FA3F56" w:rsidP="00FA3F56">
      <w:pPr>
        <w:pStyle w:val="BodyText"/>
        <w:spacing w:before="28"/>
        <w:rPr>
          <w:rFonts w:eastAsia="Times New Roman"/>
          <w:color w:val="000000"/>
          <w:sz w:val="22"/>
          <w:szCs w:val="22"/>
        </w:rPr>
      </w:pPr>
    </w:p>
    <w:p w14:paraId="0AE6DA5E"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Based on socio-economic parameters presented in Table 2, the Economic Injury Level (EIL) for cherry tomato cultivation on a 300 m² plot was calculated at 32,500 insects. The EIL represents the pest population level at which economic losses equal control costs; pest control is economically justified only when populations exceed this threshold (Pedigo &amp; Rice, 2014).</w:t>
      </w:r>
    </w:p>
    <w:p w14:paraId="0FF4D14E"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The Economic Threshold (ET), defined as 80% of the EIL, was established at 26,000 insects, serving as an early warning level for control intervention (Rahman &amp; Rauf, 2019).</w:t>
      </w:r>
    </w:p>
    <w:p w14:paraId="3E0E4486" w14:textId="77777777" w:rsidR="00FA3F56" w:rsidRPr="00B84766" w:rsidRDefault="00FA3F56" w:rsidP="00FA3F56">
      <w:pPr>
        <w:pStyle w:val="BodyText"/>
        <w:spacing w:before="28"/>
        <w:rPr>
          <w:rFonts w:eastAsia="Times New Roman"/>
          <w:color w:val="000000"/>
          <w:sz w:val="22"/>
          <w:szCs w:val="22"/>
        </w:rPr>
      </w:pPr>
    </w:p>
    <w:p w14:paraId="4467A272"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Table 2. Parameters for economic analysis of pest control</w:t>
      </w:r>
    </w:p>
    <w:tbl>
      <w:tblPr>
        <w:tblW w:w="0" w:type="auto"/>
        <w:tblCellSpacing w:w="15" w:type="dxa"/>
        <w:tblInd w:w="567" w:type="dxa"/>
        <w:tblCellMar>
          <w:top w:w="15" w:type="dxa"/>
          <w:left w:w="15" w:type="dxa"/>
          <w:bottom w:w="15" w:type="dxa"/>
          <w:right w:w="15" w:type="dxa"/>
        </w:tblCellMar>
        <w:tblLook w:val="04A0" w:firstRow="1" w:lastRow="0" w:firstColumn="1" w:lastColumn="0" w:noHBand="0" w:noVBand="1"/>
      </w:tblPr>
      <w:tblGrid>
        <w:gridCol w:w="1723"/>
        <w:gridCol w:w="1318"/>
        <w:gridCol w:w="1788"/>
        <w:gridCol w:w="3328"/>
      </w:tblGrid>
      <w:tr w:rsidR="00FA3F56" w:rsidRPr="00B84766" w14:paraId="1BBAAE29" w14:textId="77777777" w:rsidTr="00FA3F56">
        <w:trPr>
          <w:trHeight w:val="20"/>
          <w:tblHeader/>
          <w:tblCellSpacing w:w="15" w:type="dxa"/>
        </w:trPr>
        <w:tc>
          <w:tcPr>
            <w:tcW w:w="1678" w:type="dxa"/>
            <w:tcBorders>
              <w:top w:val="single" w:sz="4" w:space="0" w:color="auto"/>
              <w:bottom w:val="single" w:sz="4" w:space="0" w:color="auto"/>
            </w:tcBorders>
            <w:vAlign w:val="center"/>
            <w:hideMark/>
          </w:tcPr>
          <w:p w14:paraId="681A359F" w14:textId="77777777" w:rsidR="00FA3F56" w:rsidRPr="00B84766" w:rsidRDefault="00FA3F56" w:rsidP="00390EF2">
            <w:pPr>
              <w:adjustRightInd w:val="0"/>
              <w:snapToGrid w:val="0"/>
              <w:spacing w:after="120"/>
              <w:ind w:firstLine="478"/>
              <w:jc w:val="center"/>
              <w:rPr>
                <w:b/>
                <w:bCs/>
              </w:rPr>
            </w:pPr>
            <w:r w:rsidRPr="00B84766">
              <w:rPr>
                <w:b/>
                <w:bCs/>
              </w:rPr>
              <w:t>Parameter</w:t>
            </w:r>
          </w:p>
        </w:tc>
        <w:tc>
          <w:tcPr>
            <w:tcW w:w="1288" w:type="dxa"/>
            <w:tcBorders>
              <w:top w:val="single" w:sz="4" w:space="0" w:color="auto"/>
              <w:bottom w:val="single" w:sz="4" w:space="0" w:color="auto"/>
            </w:tcBorders>
            <w:vAlign w:val="center"/>
            <w:hideMark/>
          </w:tcPr>
          <w:p w14:paraId="5087F80B" w14:textId="29E3D412" w:rsidR="00FA3F56" w:rsidRPr="00B84766" w:rsidRDefault="00FA3F56" w:rsidP="00390EF2">
            <w:pPr>
              <w:adjustRightInd w:val="0"/>
              <w:snapToGrid w:val="0"/>
              <w:spacing w:after="120"/>
              <w:ind w:firstLine="478"/>
              <w:jc w:val="center"/>
              <w:rPr>
                <w:b/>
                <w:bCs/>
              </w:rPr>
            </w:pPr>
            <w:r w:rsidRPr="00B84766">
              <w:rPr>
                <w:b/>
                <w:bCs/>
              </w:rPr>
              <w:t>Value</w:t>
            </w:r>
          </w:p>
        </w:tc>
        <w:tc>
          <w:tcPr>
            <w:tcW w:w="1758" w:type="dxa"/>
            <w:tcBorders>
              <w:top w:val="single" w:sz="4" w:space="0" w:color="auto"/>
              <w:bottom w:val="single" w:sz="4" w:space="0" w:color="auto"/>
            </w:tcBorders>
            <w:vAlign w:val="center"/>
            <w:hideMark/>
          </w:tcPr>
          <w:p w14:paraId="0B438B53" w14:textId="76897CF7" w:rsidR="00FA3F56" w:rsidRPr="00B84766" w:rsidRDefault="00FA3F56" w:rsidP="00390EF2">
            <w:pPr>
              <w:adjustRightInd w:val="0"/>
              <w:snapToGrid w:val="0"/>
              <w:spacing w:after="120"/>
              <w:ind w:firstLine="478"/>
              <w:jc w:val="center"/>
              <w:rPr>
                <w:b/>
                <w:bCs/>
              </w:rPr>
            </w:pPr>
            <w:r w:rsidRPr="00B84766">
              <w:rPr>
                <w:b/>
                <w:bCs/>
              </w:rPr>
              <w:t>Unit</w:t>
            </w:r>
          </w:p>
        </w:tc>
        <w:tc>
          <w:tcPr>
            <w:tcW w:w="3283" w:type="dxa"/>
            <w:tcBorders>
              <w:top w:val="single" w:sz="4" w:space="0" w:color="auto"/>
              <w:bottom w:val="single" w:sz="4" w:space="0" w:color="auto"/>
            </w:tcBorders>
            <w:vAlign w:val="center"/>
          </w:tcPr>
          <w:p w14:paraId="3944B403" w14:textId="56322384" w:rsidR="00FA3F56" w:rsidRPr="00B84766" w:rsidRDefault="00FA3F56" w:rsidP="00390EF2">
            <w:pPr>
              <w:adjustRightInd w:val="0"/>
              <w:snapToGrid w:val="0"/>
              <w:spacing w:after="120"/>
              <w:ind w:firstLine="478"/>
              <w:jc w:val="center"/>
              <w:rPr>
                <w:b/>
                <w:bCs/>
              </w:rPr>
            </w:pPr>
            <w:r w:rsidRPr="00B84766">
              <w:rPr>
                <w:b/>
                <w:bCs/>
              </w:rPr>
              <w:t>Description</w:t>
            </w:r>
          </w:p>
        </w:tc>
      </w:tr>
      <w:tr w:rsidR="00FA3F56" w:rsidRPr="00B84766" w14:paraId="5C1CDDCD" w14:textId="77777777" w:rsidTr="00FA3F56">
        <w:trPr>
          <w:trHeight w:val="20"/>
          <w:tblCellSpacing w:w="15" w:type="dxa"/>
        </w:trPr>
        <w:tc>
          <w:tcPr>
            <w:tcW w:w="1678" w:type="dxa"/>
            <w:vAlign w:val="center"/>
            <w:hideMark/>
          </w:tcPr>
          <w:p w14:paraId="63B810EA" w14:textId="33A0BC72" w:rsidR="00FA3F56" w:rsidRPr="00B84766" w:rsidRDefault="00FA3F56" w:rsidP="00390EF2">
            <w:pPr>
              <w:adjustRightInd w:val="0"/>
              <w:snapToGrid w:val="0"/>
              <w:ind w:hanging="44"/>
              <w:jc w:val="center"/>
            </w:pPr>
            <w:r w:rsidRPr="00B84766">
              <w:t>Potential yield (</w:t>
            </w:r>
            <w:proofErr w:type="spellStart"/>
            <w:r w:rsidRPr="00B84766">
              <w:t>Yp</w:t>
            </w:r>
            <w:proofErr w:type="spellEnd"/>
            <w:r w:rsidRPr="00B84766">
              <w:t>)</w:t>
            </w:r>
          </w:p>
        </w:tc>
        <w:tc>
          <w:tcPr>
            <w:tcW w:w="1288" w:type="dxa"/>
            <w:vAlign w:val="center"/>
            <w:hideMark/>
          </w:tcPr>
          <w:p w14:paraId="276DDFCA" w14:textId="77777777" w:rsidR="00FA3F56" w:rsidRPr="00B84766" w:rsidRDefault="00FA3F56" w:rsidP="00390EF2">
            <w:pPr>
              <w:adjustRightInd w:val="0"/>
              <w:snapToGrid w:val="0"/>
              <w:ind w:firstLine="478"/>
              <w:jc w:val="center"/>
            </w:pPr>
            <w:r w:rsidRPr="00B84766">
              <w:t>1,500</w:t>
            </w:r>
          </w:p>
        </w:tc>
        <w:tc>
          <w:tcPr>
            <w:tcW w:w="1758" w:type="dxa"/>
            <w:vAlign w:val="center"/>
            <w:hideMark/>
          </w:tcPr>
          <w:p w14:paraId="3D2F08BF" w14:textId="77777777" w:rsidR="00FA3F56" w:rsidRPr="00B84766" w:rsidRDefault="00FA3F56" w:rsidP="00390EF2">
            <w:pPr>
              <w:adjustRightInd w:val="0"/>
              <w:snapToGrid w:val="0"/>
              <w:ind w:firstLine="478"/>
              <w:jc w:val="center"/>
            </w:pPr>
            <w:r w:rsidRPr="00B84766">
              <w:t>kg/300m²</w:t>
            </w:r>
          </w:p>
        </w:tc>
        <w:tc>
          <w:tcPr>
            <w:tcW w:w="3283" w:type="dxa"/>
            <w:vAlign w:val="center"/>
          </w:tcPr>
          <w:p w14:paraId="506F6259" w14:textId="6F108B3B" w:rsidR="00FA3F56" w:rsidRPr="00B84766" w:rsidRDefault="00FA3F56" w:rsidP="00390EF2">
            <w:pPr>
              <w:adjustRightInd w:val="0"/>
              <w:snapToGrid w:val="0"/>
              <w:ind w:firstLine="478"/>
              <w:jc w:val="center"/>
            </w:pPr>
            <w:r w:rsidRPr="00B84766">
              <w:t>Optimal yield</w:t>
            </w:r>
          </w:p>
        </w:tc>
      </w:tr>
      <w:tr w:rsidR="00FA3F56" w:rsidRPr="00B84766" w14:paraId="7711A8F7" w14:textId="77777777" w:rsidTr="00FA3F56">
        <w:trPr>
          <w:trHeight w:val="20"/>
          <w:tblCellSpacing w:w="15" w:type="dxa"/>
        </w:trPr>
        <w:tc>
          <w:tcPr>
            <w:tcW w:w="1678" w:type="dxa"/>
            <w:vAlign w:val="center"/>
            <w:hideMark/>
          </w:tcPr>
          <w:p w14:paraId="5A75E9C6" w14:textId="1A0A9E64" w:rsidR="00FA3F56" w:rsidRPr="00B84766" w:rsidRDefault="00FA3F56" w:rsidP="00FA3F56">
            <w:pPr>
              <w:adjustRightInd w:val="0"/>
              <w:snapToGrid w:val="0"/>
              <w:ind w:hanging="44"/>
              <w:jc w:val="center"/>
            </w:pPr>
            <w:r w:rsidRPr="00B84766">
              <w:t>Market price (P)</w:t>
            </w:r>
          </w:p>
        </w:tc>
        <w:tc>
          <w:tcPr>
            <w:tcW w:w="1288" w:type="dxa"/>
            <w:vAlign w:val="center"/>
            <w:hideMark/>
          </w:tcPr>
          <w:p w14:paraId="789624C5" w14:textId="77777777" w:rsidR="00FA3F56" w:rsidRPr="00B84766" w:rsidRDefault="00FA3F56" w:rsidP="00FA3F56">
            <w:pPr>
              <w:adjustRightInd w:val="0"/>
              <w:snapToGrid w:val="0"/>
              <w:ind w:firstLine="478"/>
              <w:jc w:val="center"/>
            </w:pPr>
            <w:r w:rsidRPr="00B84766">
              <w:t>10,000</w:t>
            </w:r>
          </w:p>
        </w:tc>
        <w:tc>
          <w:tcPr>
            <w:tcW w:w="1758" w:type="dxa"/>
            <w:hideMark/>
          </w:tcPr>
          <w:p w14:paraId="330DA396" w14:textId="1B46D171" w:rsidR="00FA3F56" w:rsidRPr="00B84766" w:rsidRDefault="00FA3F56" w:rsidP="00FA3F56">
            <w:pPr>
              <w:adjustRightInd w:val="0"/>
              <w:snapToGrid w:val="0"/>
              <w:ind w:firstLine="478"/>
              <w:jc w:val="center"/>
            </w:pPr>
            <w:r w:rsidRPr="00B84766">
              <w:rPr>
                <w:rFonts w:eastAsia="Times New Roman"/>
                <w:color w:val="000000"/>
              </w:rPr>
              <w:t>IDR/kg</w:t>
            </w:r>
          </w:p>
        </w:tc>
        <w:tc>
          <w:tcPr>
            <w:tcW w:w="3283" w:type="dxa"/>
          </w:tcPr>
          <w:p w14:paraId="2D497B73" w14:textId="01476CA3" w:rsidR="00FA3F56" w:rsidRPr="00B84766" w:rsidRDefault="00FA3F56" w:rsidP="00FA3F56">
            <w:pPr>
              <w:adjustRightInd w:val="0"/>
              <w:snapToGrid w:val="0"/>
              <w:ind w:firstLine="478"/>
              <w:jc w:val="center"/>
            </w:pPr>
            <w:r w:rsidRPr="00B84766">
              <w:rPr>
                <w:rFonts w:eastAsia="Times New Roman"/>
                <w:color w:val="000000"/>
              </w:rPr>
              <w:t>Average market price</w:t>
            </w:r>
          </w:p>
        </w:tc>
      </w:tr>
      <w:tr w:rsidR="00446C43" w:rsidRPr="00B84766" w14:paraId="7CC34CE4" w14:textId="77777777" w:rsidTr="00FA3E34">
        <w:trPr>
          <w:trHeight w:val="20"/>
          <w:tblCellSpacing w:w="15" w:type="dxa"/>
        </w:trPr>
        <w:tc>
          <w:tcPr>
            <w:tcW w:w="1678" w:type="dxa"/>
            <w:vAlign w:val="center"/>
            <w:hideMark/>
          </w:tcPr>
          <w:p w14:paraId="7B8C02CA" w14:textId="1A917D43" w:rsidR="00446C43" w:rsidRPr="00B84766" w:rsidRDefault="00446C43" w:rsidP="00446C43">
            <w:pPr>
              <w:adjustRightInd w:val="0"/>
              <w:snapToGrid w:val="0"/>
              <w:ind w:hanging="44"/>
              <w:jc w:val="center"/>
            </w:pPr>
            <w:r w:rsidRPr="00B84766">
              <w:t>Control cost (C)</w:t>
            </w:r>
          </w:p>
        </w:tc>
        <w:tc>
          <w:tcPr>
            <w:tcW w:w="1288" w:type="dxa"/>
            <w:vAlign w:val="center"/>
            <w:hideMark/>
          </w:tcPr>
          <w:p w14:paraId="4553F159" w14:textId="77777777" w:rsidR="00446C43" w:rsidRPr="00B84766" w:rsidRDefault="00446C43" w:rsidP="00446C43">
            <w:pPr>
              <w:adjustRightInd w:val="0"/>
              <w:snapToGrid w:val="0"/>
              <w:ind w:firstLine="478"/>
              <w:jc w:val="center"/>
            </w:pPr>
            <w:r w:rsidRPr="00B84766">
              <w:t>650,000</w:t>
            </w:r>
          </w:p>
        </w:tc>
        <w:tc>
          <w:tcPr>
            <w:tcW w:w="1758" w:type="dxa"/>
            <w:hideMark/>
          </w:tcPr>
          <w:p w14:paraId="405EC7D0" w14:textId="3ED0437D" w:rsidR="00446C43" w:rsidRPr="00B84766" w:rsidRDefault="00446C43" w:rsidP="00446C43">
            <w:pPr>
              <w:adjustRightInd w:val="0"/>
              <w:snapToGrid w:val="0"/>
              <w:ind w:firstLine="478"/>
              <w:jc w:val="center"/>
            </w:pPr>
            <w:r w:rsidRPr="00B84766">
              <w:rPr>
                <w:rFonts w:eastAsia="Times New Roman"/>
                <w:color w:val="000000"/>
              </w:rPr>
              <w:t>IDR/300 m²</w:t>
            </w:r>
          </w:p>
        </w:tc>
        <w:tc>
          <w:tcPr>
            <w:tcW w:w="3283" w:type="dxa"/>
          </w:tcPr>
          <w:p w14:paraId="0F24404C" w14:textId="36CE57BB" w:rsidR="00446C43" w:rsidRPr="00B84766" w:rsidRDefault="00446C43" w:rsidP="00446C43">
            <w:pPr>
              <w:adjustRightInd w:val="0"/>
              <w:snapToGrid w:val="0"/>
              <w:ind w:firstLine="478"/>
              <w:jc w:val="center"/>
            </w:pPr>
            <w:r w:rsidRPr="00B84766">
              <w:rPr>
                <w:rFonts w:eastAsia="Times New Roman"/>
                <w:color w:val="000000"/>
              </w:rPr>
              <w:t>Pesticide + labor</w:t>
            </w:r>
          </w:p>
        </w:tc>
      </w:tr>
      <w:tr w:rsidR="00446C43" w:rsidRPr="00B84766" w14:paraId="17A73B8B" w14:textId="77777777" w:rsidTr="00F30B0F">
        <w:trPr>
          <w:trHeight w:val="20"/>
          <w:tblCellSpacing w:w="15" w:type="dxa"/>
        </w:trPr>
        <w:tc>
          <w:tcPr>
            <w:tcW w:w="1678" w:type="dxa"/>
            <w:vAlign w:val="center"/>
            <w:hideMark/>
          </w:tcPr>
          <w:p w14:paraId="6B69CA40" w14:textId="55F5B146" w:rsidR="00446C43" w:rsidRPr="00B84766" w:rsidRDefault="00446C43" w:rsidP="00446C43">
            <w:pPr>
              <w:adjustRightInd w:val="0"/>
              <w:snapToGrid w:val="0"/>
              <w:ind w:hanging="44"/>
              <w:jc w:val="center"/>
            </w:pPr>
            <w:r w:rsidRPr="00B84766">
              <w:t>Damage coefficient (d)</w:t>
            </w:r>
          </w:p>
        </w:tc>
        <w:tc>
          <w:tcPr>
            <w:tcW w:w="1288" w:type="dxa"/>
            <w:vAlign w:val="center"/>
            <w:hideMark/>
          </w:tcPr>
          <w:p w14:paraId="5480EA2A" w14:textId="77777777" w:rsidR="00446C43" w:rsidRPr="00B84766" w:rsidRDefault="00446C43" w:rsidP="00446C43">
            <w:pPr>
              <w:adjustRightInd w:val="0"/>
              <w:snapToGrid w:val="0"/>
              <w:ind w:firstLine="478"/>
              <w:jc w:val="center"/>
            </w:pPr>
            <w:r w:rsidRPr="00B84766">
              <w:t>0.002</w:t>
            </w:r>
          </w:p>
        </w:tc>
        <w:tc>
          <w:tcPr>
            <w:tcW w:w="1758" w:type="dxa"/>
            <w:hideMark/>
          </w:tcPr>
          <w:p w14:paraId="70A44344" w14:textId="55EBC19C" w:rsidR="00446C43" w:rsidRPr="00B84766" w:rsidRDefault="00446C43" w:rsidP="00446C43">
            <w:pPr>
              <w:adjustRightInd w:val="0"/>
              <w:snapToGrid w:val="0"/>
              <w:ind w:firstLine="478"/>
              <w:jc w:val="center"/>
            </w:pPr>
            <w:r w:rsidRPr="00B84766">
              <w:rPr>
                <w:rFonts w:eastAsia="Times New Roman"/>
                <w:color w:val="000000"/>
              </w:rPr>
              <w:t>%/insect</w:t>
            </w:r>
          </w:p>
        </w:tc>
        <w:tc>
          <w:tcPr>
            <w:tcW w:w="3283" w:type="dxa"/>
          </w:tcPr>
          <w:p w14:paraId="68B58B20" w14:textId="5E6B20FF" w:rsidR="00446C43" w:rsidRPr="00B84766" w:rsidRDefault="00446C43" w:rsidP="00446C43">
            <w:pPr>
              <w:adjustRightInd w:val="0"/>
              <w:snapToGrid w:val="0"/>
              <w:ind w:firstLine="478"/>
              <w:jc w:val="center"/>
            </w:pPr>
            <w:r w:rsidRPr="00B84766">
              <w:rPr>
                <w:rFonts w:eastAsia="Times New Roman"/>
                <w:color w:val="000000"/>
              </w:rPr>
              <w:t>2% damage per 1,000 insects</w:t>
            </w:r>
          </w:p>
        </w:tc>
      </w:tr>
      <w:tr w:rsidR="00FA3F56" w:rsidRPr="00B84766" w14:paraId="1CCAB15D" w14:textId="77777777" w:rsidTr="00FA3F56">
        <w:trPr>
          <w:trHeight w:val="20"/>
          <w:tblCellSpacing w:w="15" w:type="dxa"/>
        </w:trPr>
        <w:tc>
          <w:tcPr>
            <w:tcW w:w="1678" w:type="dxa"/>
            <w:vAlign w:val="center"/>
            <w:hideMark/>
          </w:tcPr>
          <w:p w14:paraId="05A41313" w14:textId="77777777" w:rsidR="00FA3F56" w:rsidRPr="00B84766" w:rsidRDefault="00FA3F56" w:rsidP="00390EF2">
            <w:pPr>
              <w:adjustRightInd w:val="0"/>
              <w:snapToGrid w:val="0"/>
              <w:ind w:hanging="44"/>
              <w:jc w:val="center"/>
            </w:pPr>
            <w:r w:rsidRPr="00B84766">
              <w:t>Economic Injury Level (EIL)</w:t>
            </w:r>
          </w:p>
        </w:tc>
        <w:tc>
          <w:tcPr>
            <w:tcW w:w="1288" w:type="dxa"/>
            <w:vAlign w:val="center"/>
            <w:hideMark/>
          </w:tcPr>
          <w:p w14:paraId="027C6FA3" w14:textId="77777777" w:rsidR="00FA3F56" w:rsidRPr="00B84766" w:rsidRDefault="00FA3F56" w:rsidP="00390EF2">
            <w:pPr>
              <w:adjustRightInd w:val="0"/>
              <w:snapToGrid w:val="0"/>
              <w:ind w:firstLine="478"/>
              <w:jc w:val="center"/>
            </w:pPr>
            <w:r w:rsidRPr="00B84766">
              <w:t>32.500</w:t>
            </w:r>
          </w:p>
        </w:tc>
        <w:tc>
          <w:tcPr>
            <w:tcW w:w="1758" w:type="dxa"/>
            <w:vAlign w:val="center"/>
            <w:hideMark/>
          </w:tcPr>
          <w:p w14:paraId="7AD36860" w14:textId="1BBF7033" w:rsidR="00FA3F56" w:rsidRPr="00B84766" w:rsidRDefault="00446C43" w:rsidP="00390EF2">
            <w:pPr>
              <w:adjustRightInd w:val="0"/>
              <w:snapToGrid w:val="0"/>
              <w:ind w:firstLine="478"/>
              <w:jc w:val="center"/>
            </w:pPr>
            <w:r w:rsidRPr="00B84766">
              <w:t>insects</w:t>
            </w:r>
          </w:p>
        </w:tc>
        <w:tc>
          <w:tcPr>
            <w:tcW w:w="3283" w:type="dxa"/>
            <w:vAlign w:val="center"/>
          </w:tcPr>
          <w:p w14:paraId="1B581281" w14:textId="77777777" w:rsidR="00FA3F56" w:rsidRPr="00B84766" w:rsidRDefault="00FA3F56" w:rsidP="00390EF2">
            <w:pPr>
              <w:adjustRightInd w:val="0"/>
              <w:snapToGrid w:val="0"/>
              <w:ind w:firstLine="478"/>
              <w:jc w:val="center"/>
            </w:pPr>
            <w:r w:rsidRPr="00B84766">
              <w:t>C / (P × d) (Pedigo dan Buntin, 1994)</w:t>
            </w:r>
          </w:p>
        </w:tc>
      </w:tr>
      <w:tr w:rsidR="00FA3F56" w:rsidRPr="00B84766" w14:paraId="6BDF86D0" w14:textId="77777777" w:rsidTr="00FA3F56">
        <w:trPr>
          <w:trHeight w:val="20"/>
          <w:tblCellSpacing w:w="15" w:type="dxa"/>
        </w:trPr>
        <w:tc>
          <w:tcPr>
            <w:tcW w:w="1678" w:type="dxa"/>
            <w:tcBorders>
              <w:bottom w:val="single" w:sz="4" w:space="0" w:color="auto"/>
            </w:tcBorders>
            <w:vAlign w:val="center"/>
            <w:hideMark/>
          </w:tcPr>
          <w:p w14:paraId="2702EFBD" w14:textId="77777777" w:rsidR="00FA3F56" w:rsidRPr="00B84766" w:rsidRDefault="00FA3F56" w:rsidP="00390EF2">
            <w:pPr>
              <w:adjustRightInd w:val="0"/>
              <w:snapToGrid w:val="0"/>
              <w:ind w:hanging="44"/>
              <w:jc w:val="center"/>
            </w:pPr>
            <w:r w:rsidRPr="00B84766">
              <w:t>Economic Threshold (ET)</w:t>
            </w:r>
          </w:p>
        </w:tc>
        <w:tc>
          <w:tcPr>
            <w:tcW w:w="1288" w:type="dxa"/>
            <w:tcBorders>
              <w:bottom w:val="single" w:sz="4" w:space="0" w:color="auto"/>
            </w:tcBorders>
            <w:vAlign w:val="center"/>
            <w:hideMark/>
          </w:tcPr>
          <w:p w14:paraId="36B3ECEB" w14:textId="77777777" w:rsidR="00FA3F56" w:rsidRPr="00B84766" w:rsidRDefault="00FA3F56" w:rsidP="00390EF2">
            <w:pPr>
              <w:adjustRightInd w:val="0"/>
              <w:snapToGrid w:val="0"/>
              <w:ind w:firstLine="478"/>
              <w:jc w:val="center"/>
            </w:pPr>
            <w:r w:rsidRPr="00B84766">
              <w:t>26.000</w:t>
            </w:r>
          </w:p>
        </w:tc>
        <w:tc>
          <w:tcPr>
            <w:tcW w:w="1758" w:type="dxa"/>
            <w:tcBorders>
              <w:bottom w:val="single" w:sz="4" w:space="0" w:color="auto"/>
            </w:tcBorders>
            <w:vAlign w:val="center"/>
            <w:hideMark/>
          </w:tcPr>
          <w:p w14:paraId="2F94C33F" w14:textId="63AADD04" w:rsidR="00FA3F56" w:rsidRPr="00B84766" w:rsidRDefault="00446C43" w:rsidP="00390EF2">
            <w:pPr>
              <w:adjustRightInd w:val="0"/>
              <w:snapToGrid w:val="0"/>
              <w:ind w:firstLine="478"/>
              <w:jc w:val="center"/>
            </w:pPr>
            <w:r w:rsidRPr="00B84766">
              <w:t>insects</w:t>
            </w:r>
          </w:p>
        </w:tc>
        <w:tc>
          <w:tcPr>
            <w:tcW w:w="3283" w:type="dxa"/>
            <w:tcBorders>
              <w:bottom w:val="single" w:sz="4" w:space="0" w:color="auto"/>
            </w:tcBorders>
            <w:vAlign w:val="center"/>
          </w:tcPr>
          <w:p w14:paraId="7913137C" w14:textId="565018DB" w:rsidR="00FA3F56" w:rsidRPr="00B84766" w:rsidRDefault="00FA3F56" w:rsidP="00390EF2">
            <w:pPr>
              <w:adjustRightInd w:val="0"/>
              <w:snapToGrid w:val="0"/>
              <w:ind w:firstLine="478"/>
              <w:jc w:val="center"/>
            </w:pPr>
            <w:r w:rsidRPr="00B84766">
              <w:t xml:space="preserve">80% × EIL </w:t>
            </w:r>
          </w:p>
        </w:tc>
      </w:tr>
    </w:tbl>
    <w:p w14:paraId="304299B0"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Source: Processed primary data (2025)</w:t>
      </w:r>
    </w:p>
    <w:p w14:paraId="060EBAED" w14:textId="77777777" w:rsidR="00FA3F56" w:rsidRPr="00B84766" w:rsidRDefault="00FA3F56" w:rsidP="00FA3F56">
      <w:pPr>
        <w:pStyle w:val="BodyText"/>
        <w:spacing w:before="28"/>
        <w:rPr>
          <w:rFonts w:eastAsia="Times New Roman"/>
          <w:color w:val="000000"/>
          <w:sz w:val="22"/>
          <w:szCs w:val="22"/>
        </w:rPr>
      </w:pPr>
    </w:p>
    <w:p w14:paraId="7E25BC3C"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Across all eight observations, pest populations remained far below the ET value, with the highest population recorded at only 42 insects. Consequently, based on Integrated Pest Management (IPM) principles, chemical control was not recommended during the study period. All observations resulted in a “monitor” recommendation (Table 3).</w:t>
      </w:r>
    </w:p>
    <w:p w14:paraId="5E08B7C1"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Table 3. Pest management recommendations based on ET</w:t>
      </w:r>
    </w:p>
    <w:p w14:paraId="79524506" w14:textId="77777777" w:rsidR="00FA3F56" w:rsidRPr="00B84766" w:rsidRDefault="00FA3F56" w:rsidP="00446C43">
      <w:pPr>
        <w:pStyle w:val="BodyText"/>
        <w:pBdr>
          <w:top w:val="single" w:sz="4" w:space="1" w:color="auto"/>
          <w:bottom w:val="single" w:sz="4" w:space="1" w:color="auto"/>
          <w:between w:val="single" w:sz="4" w:space="1" w:color="auto"/>
        </w:pBdr>
        <w:spacing w:before="28"/>
        <w:rPr>
          <w:rFonts w:eastAsia="Times New Roman"/>
          <w:color w:val="000000"/>
          <w:sz w:val="22"/>
          <w:szCs w:val="22"/>
        </w:rPr>
      </w:pPr>
      <w:r w:rsidRPr="00B84766">
        <w:rPr>
          <w:rFonts w:eastAsia="Times New Roman"/>
          <w:color w:val="000000"/>
          <w:sz w:val="22"/>
          <w:szCs w:val="22"/>
        </w:rPr>
        <w:t>Observation</w:t>
      </w:r>
      <w:r w:rsidRPr="00B84766">
        <w:rPr>
          <w:rFonts w:eastAsia="Times New Roman"/>
          <w:color w:val="000000"/>
          <w:sz w:val="22"/>
          <w:szCs w:val="22"/>
        </w:rPr>
        <w:tab/>
        <w:t>Total insects (ind.)</w:t>
      </w:r>
      <w:r w:rsidRPr="00B84766">
        <w:rPr>
          <w:rFonts w:eastAsia="Times New Roman"/>
          <w:color w:val="000000"/>
          <w:sz w:val="22"/>
          <w:szCs w:val="22"/>
        </w:rPr>
        <w:tab/>
        <w:t>Damage (%)</w:t>
      </w:r>
      <w:r w:rsidRPr="00B84766">
        <w:rPr>
          <w:rFonts w:eastAsia="Times New Roman"/>
          <w:color w:val="000000"/>
          <w:sz w:val="22"/>
          <w:szCs w:val="22"/>
        </w:rPr>
        <w:tab/>
        <w:t>Recommendation</w:t>
      </w:r>
    </w:p>
    <w:p w14:paraId="642F00BF" w14:textId="37D47647" w:rsidR="00FA3F56" w:rsidRPr="00B84766" w:rsidRDefault="00FA3F56" w:rsidP="00446C43">
      <w:pPr>
        <w:pStyle w:val="BodyText"/>
        <w:pBdr>
          <w:top w:val="single" w:sz="4" w:space="1" w:color="auto"/>
          <w:bottom w:val="single" w:sz="4" w:space="1" w:color="auto"/>
          <w:between w:val="single" w:sz="4" w:space="1" w:color="auto"/>
        </w:pBdr>
        <w:spacing w:before="28"/>
        <w:rPr>
          <w:rFonts w:eastAsia="Times New Roman"/>
          <w:color w:val="000000"/>
          <w:sz w:val="22"/>
          <w:szCs w:val="22"/>
        </w:rPr>
      </w:pPr>
      <w:r w:rsidRPr="00B84766">
        <w:rPr>
          <w:rFonts w:eastAsia="Times New Roman"/>
          <w:color w:val="000000"/>
          <w:sz w:val="22"/>
          <w:szCs w:val="22"/>
        </w:rPr>
        <w:t>1–8</w:t>
      </w:r>
      <w:r w:rsidRPr="00B84766">
        <w:rPr>
          <w:rFonts w:eastAsia="Times New Roman"/>
          <w:color w:val="000000"/>
          <w:sz w:val="22"/>
          <w:szCs w:val="22"/>
        </w:rPr>
        <w:tab/>
      </w:r>
      <w:r w:rsidR="00446C43" w:rsidRPr="00B84766">
        <w:rPr>
          <w:rFonts w:eastAsia="Times New Roman"/>
          <w:color w:val="000000"/>
          <w:sz w:val="22"/>
          <w:szCs w:val="22"/>
        </w:rPr>
        <w:t xml:space="preserve">                   </w:t>
      </w:r>
      <w:r w:rsidR="00B84766">
        <w:rPr>
          <w:rFonts w:eastAsia="Times New Roman"/>
          <w:color w:val="000000"/>
          <w:sz w:val="22"/>
          <w:szCs w:val="22"/>
        </w:rPr>
        <w:t xml:space="preserve">          </w:t>
      </w:r>
      <w:r w:rsidR="00446C43" w:rsidRPr="00B84766">
        <w:rPr>
          <w:rFonts w:eastAsia="Times New Roman"/>
          <w:color w:val="000000"/>
          <w:sz w:val="22"/>
          <w:szCs w:val="22"/>
        </w:rPr>
        <w:t xml:space="preserve"> </w:t>
      </w:r>
      <w:r w:rsidRPr="00B84766">
        <w:rPr>
          <w:rFonts w:eastAsia="Times New Roman"/>
          <w:color w:val="000000"/>
          <w:sz w:val="22"/>
          <w:szCs w:val="22"/>
        </w:rPr>
        <w:t>4–42</w:t>
      </w:r>
      <w:r w:rsidRPr="00B84766">
        <w:rPr>
          <w:rFonts w:eastAsia="Times New Roman"/>
          <w:color w:val="000000"/>
          <w:sz w:val="22"/>
          <w:szCs w:val="22"/>
        </w:rPr>
        <w:tab/>
      </w:r>
      <w:r w:rsidR="00446C43" w:rsidRPr="00B84766">
        <w:rPr>
          <w:rFonts w:eastAsia="Times New Roman"/>
          <w:color w:val="000000"/>
          <w:sz w:val="22"/>
          <w:szCs w:val="22"/>
        </w:rPr>
        <w:t xml:space="preserve">             </w:t>
      </w:r>
      <w:r w:rsidRPr="00B84766">
        <w:rPr>
          <w:rFonts w:eastAsia="Times New Roman"/>
          <w:color w:val="000000"/>
          <w:sz w:val="22"/>
          <w:szCs w:val="22"/>
        </w:rPr>
        <w:t>0.008–0.084</w:t>
      </w:r>
      <w:r w:rsidRPr="00B84766">
        <w:rPr>
          <w:rFonts w:eastAsia="Times New Roman"/>
          <w:color w:val="000000"/>
          <w:sz w:val="22"/>
          <w:szCs w:val="22"/>
        </w:rPr>
        <w:tab/>
        <w:t>Monitor</w:t>
      </w:r>
    </w:p>
    <w:p w14:paraId="7FD7D726"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Source: Processed primary data (2025)</w:t>
      </w:r>
    </w:p>
    <w:p w14:paraId="1665CA03" w14:textId="77777777" w:rsidR="00FA3F56" w:rsidRPr="00B84766" w:rsidRDefault="00FA3F56" w:rsidP="00FA3F56">
      <w:pPr>
        <w:pStyle w:val="BodyText"/>
        <w:spacing w:before="28"/>
        <w:rPr>
          <w:rFonts w:eastAsia="Times New Roman"/>
          <w:color w:val="000000"/>
          <w:sz w:val="22"/>
          <w:szCs w:val="22"/>
        </w:rPr>
      </w:pPr>
    </w:p>
    <w:p w14:paraId="5A039CA5" w14:textId="77777777" w:rsidR="00FA3F56" w:rsidRPr="00B84766" w:rsidRDefault="00FA3F56" w:rsidP="00FA3F56">
      <w:pPr>
        <w:pStyle w:val="BodyText"/>
        <w:spacing w:before="28"/>
        <w:rPr>
          <w:rFonts w:eastAsia="Times New Roman"/>
          <w:color w:val="000000"/>
          <w:sz w:val="22"/>
          <w:szCs w:val="22"/>
        </w:rPr>
      </w:pPr>
      <w:r w:rsidRPr="00B84766">
        <w:rPr>
          <w:rFonts w:eastAsia="Times New Roman"/>
          <w:color w:val="000000"/>
          <w:sz w:val="22"/>
          <w:szCs w:val="22"/>
        </w:rPr>
        <w:t>These findings support the IPM concept proposed by Stern et al. (1959), which emphasizes that pest control actions should only be implemented when pest populations reach economically damaging levels.</w:t>
      </w:r>
    </w:p>
    <w:p w14:paraId="579D51B0" w14:textId="77777777" w:rsidR="00FA3F56" w:rsidRPr="00B84766" w:rsidRDefault="00FA3F56" w:rsidP="00FA3F56">
      <w:pPr>
        <w:pStyle w:val="BodyText"/>
        <w:spacing w:before="28"/>
        <w:rPr>
          <w:rFonts w:eastAsia="Times New Roman"/>
          <w:color w:val="000000"/>
          <w:sz w:val="22"/>
          <w:szCs w:val="22"/>
        </w:rPr>
      </w:pPr>
    </w:p>
    <w:p w14:paraId="4953AE6B" w14:textId="3AF7FB98" w:rsidR="00FA3F56" w:rsidRPr="00B84766" w:rsidRDefault="00446C43" w:rsidP="00FA3F56">
      <w:pPr>
        <w:pStyle w:val="BodyText"/>
        <w:spacing w:before="28"/>
        <w:rPr>
          <w:rFonts w:eastAsia="Times New Roman"/>
          <w:color w:val="000000"/>
          <w:sz w:val="22"/>
          <w:szCs w:val="22"/>
        </w:rPr>
      </w:pPr>
      <w:r w:rsidRPr="00B84766">
        <w:rPr>
          <w:rFonts w:eastAsia="Times New Roman"/>
          <w:color w:val="000000"/>
          <w:sz w:val="22"/>
          <w:szCs w:val="22"/>
        </w:rPr>
        <w:t>3</w:t>
      </w:r>
      <w:r w:rsidR="00FA3F56" w:rsidRPr="00B84766">
        <w:rPr>
          <w:rFonts w:eastAsia="Times New Roman"/>
          <w:color w:val="000000"/>
          <w:sz w:val="22"/>
          <w:szCs w:val="22"/>
        </w:rPr>
        <w:t>.3 Benefit–Cost Ratio (BCR) Analysis</w:t>
      </w:r>
    </w:p>
    <w:p w14:paraId="1FBC088B" w14:textId="77777777" w:rsidR="005D148A" w:rsidRPr="005D148A" w:rsidRDefault="005D148A" w:rsidP="005D148A">
      <w:pPr>
        <w:widowControl/>
        <w:autoSpaceDE/>
        <w:autoSpaceDN/>
        <w:spacing w:before="100" w:beforeAutospacing="1" w:after="100" w:afterAutospacing="1"/>
        <w:ind w:left="270"/>
        <w:rPr>
          <w:rFonts w:eastAsia="Times New Roman"/>
        </w:rPr>
      </w:pPr>
      <w:r w:rsidRPr="005D148A">
        <w:rPr>
          <w:rFonts w:eastAsia="Times New Roman"/>
        </w:rPr>
        <w:t xml:space="preserve">The economic feasibility of pest control was evaluated using the Benefit–Cost Ratio (BCR) approach (Trumble &amp; Alvarado-Rodriguez, 1993). Under the observed pest population and damage levels, the maximum potential economic benefit preserved through chemical control was equivalent to the total estimated yield loss (IDR 49,200), whereas the associated control cost reached IDR 650,000. This substantial imbalance </w:t>
      </w:r>
      <w:r w:rsidRPr="005D148A">
        <w:rPr>
          <w:rFonts w:eastAsia="Times New Roman"/>
        </w:rPr>
        <w:lastRenderedPageBreak/>
        <w:t>resulted in a BCR value far below unity, clearly indicating that chemical intervention was economically unjustifiable under the prevailing field conditions.</w:t>
      </w:r>
    </w:p>
    <w:p w14:paraId="0BA08EB2" w14:textId="77777777" w:rsidR="005D148A" w:rsidRPr="005D148A" w:rsidRDefault="005D148A" w:rsidP="005D148A">
      <w:pPr>
        <w:widowControl/>
        <w:autoSpaceDE/>
        <w:autoSpaceDN/>
        <w:spacing w:before="100" w:beforeAutospacing="1" w:after="100" w:afterAutospacing="1"/>
        <w:ind w:left="270"/>
        <w:rPr>
          <w:rFonts w:eastAsia="Times New Roman"/>
        </w:rPr>
      </w:pPr>
      <w:r w:rsidRPr="005D148A">
        <w:rPr>
          <w:rFonts w:eastAsia="Times New Roman"/>
        </w:rPr>
        <w:t>The low BCR value reflects not only the relatively limited magnitude of pest-induced economic loss but also the disproportionally high cost of chemical control relative to the actual damage incurred. From an economic injury perspective, pest population levels during the observation period did not exceed the Economic Injury Level (EIL), meaning that the cost of control was higher than the value of yield losses that could be prevented. Consequently, chemical control applied at this stage represents an inefficient allocation of production inputs.</w:t>
      </w:r>
    </w:p>
    <w:p w14:paraId="298F001B" w14:textId="77777777" w:rsidR="005D148A" w:rsidRPr="005D148A" w:rsidRDefault="005D148A" w:rsidP="005D148A">
      <w:pPr>
        <w:widowControl/>
        <w:autoSpaceDE/>
        <w:autoSpaceDN/>
        <w:spacing w:before="100" w:beforeAutospacing="1" w:after="100" w:afterAutospacing="1"/>
        <w:ind w:left="270"/>
        <w:rPr>
          <w:rFonts w:eastAsia="Times New Roman"/>
        </w:rPr>
      </w:pPr>
      <w:r w:rsidRPr="005D148A">
        <w:rPr>
          <w:rFonts w:eastAsia="Times New Roman"/>
        </w:rPr>
        <w:t>These findings highlight the critical role of integrating economic thresholds into pest management decision-making. Preventive or calendar-based chemical control, when applied without reference to EIL and ET, may unnecessarily increase production costs and reduce overall farm profitability. In contrast, intensive pest monitoring using light traps provides an early warning system that enables farmers to delay intervention until pest populations approach economically damaging levels.</w:t>
      </w:r>
    </w:p>
    <w:p w14:paraId="6E03E38C" w14:textId="77777777" w:rsidR="005D148A" w:rsidRPr="005D148A" w:rsidRDefault="005D148A" w:rsidP="005D148A">
      <w:pPr>
        <w:widowControl/>
        <w:autoSpaceDE/>
        <w:autoSpaceDN/>
        <w:spacing w:before="100" w:beforeAutospacing="1" w:after="100" w:afterAutospacing="1"/>
        <w:ind w:left="270"/>
        <w:rPr>
          <w:rFonts w:eastAsia="Times New Roman"/>
        </w:rPr>
      </w:pPr>
      <w:r w:rsidRPr="005D148A">
        <w:rPr>
          <w:rFonts w:eastAsia="Times New Roman"/>
        </w:rPr>
        <w:t>Therefore, under early growth stage conditions and low-to-moderate pest pressure, light trap–based monitoring without immediate chemical intervention constitutes the most economically rational strategy. This approach supports cost-efficient pest management while minimizing unnecessary pesticide use, thereby improving both economic and ecological sustainability of cherry tomato production systems.</w:t>
      </w:r>
    </w:p>
    <w:p w14:paraId="3E9A5541" w14:textId="77777777" w:rsidR="005D148A" w:rsidRPr="00B84766" w:rsidRDefault="005D148A">
      <w:pPr>
        <w:pStyle w:val="BodyText"/>
        <w:spacing w:before="28"/>
        <w:ind w:left="0"/>
        <w:jc w:val="left"/>
        <w:rPr>
          <w:sz w:val="22"/>
          <w:szCs w:val="22"/>
        </w:rPr>
      </w:pPr>
    </w:p>
    <w:p w14:paraId="0E887D4F" w14:textId="77777777" w:rsidR="00807CEC" w:rsidRPr="00B84766" w:rsidRDefault="00D2336B">
      <w:pPr>
        <w:pStyle w:val="Heading2"/>
        <w:numPr>
          <w:ilvl w:val="0"/>
          <w:numId w:val="2"/>
        </w:numPr>
        <w:tabs>
          <w:tab w:val="left" w:pos="561"/>
        </w:tabs>
        <w:ind w:left="561" w:hanging="274"/>
        <w:rPr>
          <w:sz w:val="22"/>
          <w:szCs w:val="22"/>
        </w:rPr>
      </w:pPr>
      <w:r w:rsidRPr="00B84766">
        <w:rPr>
          <w:spacing w:val="-2"/>
          <w:sz w:val="22"/>
          <w:szCs w:val="22"/>
        </w:rPr>
        <w:t>CONCLUSION</w:t>
      </w:r>
    </w:p>
    <w:p w14:paraId="745D40DD" w14:textId="63350BCC" w:rsidR="00446C43" w:rsidRPr="00B84766" w:rsidRDefault="00446C43" w:rsidP="00446C43">
      <w:pPr>
        <w:pStyle w:val="BodyText"/>
        <w:spacing w:before="28"/>
        <w:rPr>
          <w:color w:val="000000"/>
          <w:sz w:val="22"/>
          <w:szCs w:val="22"/>
        </w:rPr>
      </w:pPr>
      <w:r w:rsidRPr="00B84766">
        <w:rPr>
          <w:color w:val="000000"/>
          <w:sz w:val="22"/>
          <w:szCs w:val="22"/>
        </w:rPr>
        <w:t>4.1 Conclusion</w:t>
      </w:r>
    </w:p>
    <w:p w14:paraId="36650418" w14:textId="0E9566F8" w:rsidR="00640798" w:rsidRPr="00640798" w:rsidRDefault="00640798" w:rsidP="00640798">
      <w:pPr>
        <w:widowControl/>
        <w:autoSpaceDE/>
        <w:autoSpaceDN/>
        <w:spacing w:before="100" w:beforeAutospacing="1" w:after="100" w:afterAutospacing="1"/>
        <w:ind w:left="270"/>
        <w:rPr>
          <w:rFonts w:eastAsia="Times New Roman"/>
        </w:rPr>
      </w:pPr>
      <w:r w:rsidRPr="00640798">
        <w:rPr>
          <w:rFonts w:eastAsia="Times New Roman"/>
        </w:rPr>
        <w:t xml:space="preserve">This study directly addressed the research objectives by quantifying economic losses due to pest attacks, determining locally based Economic Injury Level (EIL) and Economic Threshold (ET), and evaluating the economic feasibility of pest control in cherry tomato cultivation in </w:t>
      </w:r>
      <w:proofErr w:type="spellStart"/>
      <w:r w:rsidRPr="00640798">
        <w:rPr>
          <w:rFonts w:eastAsia="Times New Roman"/>
        </w:rPr>
        <w:t>Cibodas</w:t>
      </w:r>
      <w:proofErr w:type="spellEnd"/>
      <w:r>
        <w:rPr>
          <w:rFonts w:eastAsia="Times New Roman"/>
        </w:rPr>
        <w:t xml:space="preserve"> Village</w:t>
      </w:r>
      <w:r w:rsidRPr="00640798">
        <w:rPr>
          <w:rFonts w:eastAsia="Times New Roman"/>
        </w:rPr>
        <w:t>. The results showed that pest attacks during the early growth stage caused relatively low economic losses, amounting to IDR 49,200 per 300 m², with a total yield loss of 4.92 kg or 0.33% of the potential yield. Thus, pest infestation during the observation period did not result in economically significant damage.</w:t>
      </w:r>
    </w:p>
    <w:p w14:paraId="5C5ADEFD" w14:textId="77777777" w:rsidR="00640798" w:rsidRPr="00640798" w:rsidRDefault="00640798" w:rsidP="00640798">
      <w:pPr>
        <w:widowControl/>
        <w:autoSpaceDE/>
        <w:autoSpaceDN/>
        <w:spacing w:before="100" w:beforeAutospacing="1" w:after="100" w:afterAutospacing="1"/>
        <w:ind w:left="270"/>
        <w:rPr>
          <w:rFonts w:eastAsia="Times New Roman"/>
        </w:rPr>
      </w:pPr>
      <w:r w:rsidRPr="00640798">
        <w:rPr>
          <w:rFonts w:eastAsia="Times New Roman"/>
        </w:rPr>
        <w:t>The locally calculated EIL and ET were 32,500 insects per 300 m² and 26,000 insects per 300 m², respectively. Observed pest populations throughout the eight monitoring periods remained far below these thresholds, with the maximum population recorded at only 42 insects. This finding confirms that, under the studied agroecosystem conditions, pest populations did not reach levels requiring control measures based on Integrated Pest Management (IPM) principles.</w:t>
      </w:r>
    </w:p>
    <w:p w14:paraId="25297AAF" w14:textId="1CDCBCA0" w:rsidR="00640798" w:rsidRPr="00640798" w:rsidRDefault="00640798" w:rsidP="00640798">
      <w:pPr>
        <w:widowControl/>
        <w:autoSpaceDE/>
        <w:autoSpaceDN/>
        <w:spacing w:before="100" w:beforeAutospacing="1" w:after="100" w:afterAutospacing="1"/>
        <w:ind w:left="270"/>
        <w:rPr>
          <w:rFonts w:eastAsia="Times New Roman"/>
        </w:rPr>
      </w:pPr>
      <w:r w:rsidRPr="00640798">
        <w:rPr>
          <w:rFonts w:eastAsia="Times New Roman"/>
        </w:rPr>
        <w:t xml:space="preserve">Furthermore, the Benefit–Cost Ratio (BCR) analysis yielded a value of 0.0757, indicating that chemical pest control during the early growth stage was economically unjustifiable. Control costs substantially exceeded the potential economic benefits. Overall, this study demonstrates that early-stage pest management decisions for cherry tomato in </w:t>
      </w:r>
      <w:proofErr w:type="spellStart"/>
      <w:r w:rsidRPr="00640798">
        <w:rPr>
          <w:rFonts w:eastAsia="Times New Roman"/>
        </w:rPr>
        <w:t>Cibodas</w:t>
      </w:r>
      <w:proofErr w:type="spellEnd"/>
      <w:r w:rsidRPr="00640798">
        <w:rPr>
          <w:rFonts w:eastAsia="Times New Roman"/>
        </w:rPr>
        <w:t xml:space="preserve"> Village should rely on local economic thresholds and economic analysis to avoid unnecessary and inefficient chemical control applications.</w:t>
      </w:r>
    </w:p>
    <w:p w14:paraId="03D8A834" w14:textId="77777777" w:rsidR="00446C43" w:rsidRPr="00B84766" w:rsidRDefault="00446C43" w:rsidP="00446C43">
      <w:pPr>
        <w:pStyle w:val="BodyText"/>
        <w:spacing w:before="28"/>
        <w:rPr>
          <w:color w:val="000000"/>
          <w:sz w:val="22"/>
          <w:szCs w:val="22"/>
        </w:rPr>
      </w:pPr>
      <w:r w:rsidRPr="00B84766">
        <w:rPr>
          <w:color w:val="000000"/>
          <w:sz w:val="22"/>
          <w:szCs w:val="22"/>
        </w:rPr>
        <w:t xml:space="preserve">From a practical perspective, this study contributes empirical evidence supporting the integration of light trap–based monitoring with economic analysis (EIL, ET, and BCR) as a rational decision-making tool for pest management. The findings reinforce the importance of avoiding preventive chemical control when pest populations remain below economic thresholds, thereby improving farm efficiency and reducing unnecessary </w:t>
      </w:r>
      <w:r w:rsidRPr="00B84766">
        <w:rPr>
          <w:color w:val="000000"/>
          <w:sz w:val="22"/>
          <w:szCs w:val="22"/>
        </w:rPr>
        <w:lastRenderedPageBreak/>
        <w:t>input costs.</w:t>
      </w:r>
    </w:p>
    <w:p w14:paraId="29B98458" w14:textId="77777777" w:rsidR="00446C43" w:rsidRPr="00B84766" w:rsidRDefault="00446C43" w:rsidP="00446C43">
      <w:pPr>
        <w:pStyle w:val="BodyText"/>
        <w:spacing w:before="28"/>
        <w:rPr>
          <w:color w:val="000000"/>
          <w:sz w:val="22"/>
          <w:szCs w:val="22"/>
        </w:rPr>
      </w:pPr>
    </w:p>
    <w:p w14:paraId="4D16F950" w14:textId="77777777" w:rsidR="00446C43" w:rsidRPr="00B84766" w:rsidRDefault="00446C43" w:rsidP="00446C43">
      <w:pPr>
        <w:pStyle w:val="BodyText"/>
        <w:spacing w:before="28"/>
        <w:rPr>
          <w:color w:val="000000"/>
          <w:sz w:val="22"/>
          <w:szCs w:val="22"/>
        </w:rPr>
      </w:pPr>
      <w:r w:rsidRPr="00B84766">
        <w:rPr>
          <w:color w:val="000000"/>
          <w:sz w:val="22"/>
          <w:szCs w:val="22"/>
        </w:rPr>
        <w:t>However, this study was limited by its short observation period, single location, and focus on the early growth stage of the crop. Pest dynamics and economic impacts may differ at later growth stages or under different seasonal and environmental conditions.</w:t>
      </w:r>
    </w:p>
    <w:p w14:paraId="056747A2" w14:textId="77777777" w:rsidR="00446C43" w:rsidRPr="00B84766" w:rsidRDefault="00446C43" w:rsidP="00446C43">
      <w:pPr>
        <w:pStyle w:val="BodyText"/>
        <w:spacing w:before="28"/>
        <w:rPr>
          <w:color w:val="000000"/>
          <w:sz w:val="22"/>
          <w:szCs w:val="22"/>
        </w:rPr>
      </w:pPr>
    </w:p>
    <w:p w14:paraId="6633D5F6" w14:textId="5397F703" w:rsidR="00446C43" w:rsidRPr="00B84766" w:rsidRDefault="00446C43" w:rsidP="00446C43">
      <w:pPr>
        <w:pStyle w:val="BodyText"/>
        <w:spacing w:before="28"/>
        <w:rPr>
          <w:color w:val="000000"/>
          <w:sz w:val="22"/>
          <w:szCs w:val="22"/>
        </w:rPr>
      </w:pPr>
      <w:r w:rsidRPr="00B84766">
        <w:rPr>
          <w:color w:val="000000"/>
          <w:sz w:val="22"/>
          <w:szCs w:val="22"/>
        </w:rPr>
        <w:t>4.2 Suggestions for Future Studies</w:t>
      </w:r>
    </w:p>
    <w:p w14:paraId="6DA41C7A" w14:textId="77777777" w:rsidR="00446C43" w:rsidRPr="00B84766" w:rsidRDefault="00446C43" w:rsidP="00446C43">
      <w:pPr>
        <w:pStyle w:val="BodyText"/>
        <w:spacing w:before="28"/>
        <w:rPr>
          <w:color w:val="000000"/>
          <w:sz w:val="22"/>
          <w:szCs w:val="22"/>
        </w:rPr>
      </w:pPr>
    </w:p>
    <w:p w14:paraId="4BE5538E" w14:textId="56211C39" w:rsidR="00446C43" w:rsidRPr="00125CB8" w:rsidRDefault="00125CB8" w:rsidP="00125CB8">
      <w:pPr>
        <w:pStyle w:val="BodyText"/>
        <w:spacing w:before="28"/>
        <w:rPr>
          <w:color w:val="000000"/>
        </w:rPr>
      </w:pPr>
      <w:r w:rsidRPr="00125CB8">
        <w:rPr>
          <w:color w:val="000000"/>
          <w:sz w:val="20"/>
          <w:szCs w:val="20"/>
        </w:rPr>
        <w:t>This study was conducted at a single location and during one growing season; therefore, the findings should be interpreted within the specific agroecosystem context and may not be directly generalizable to other regions or seasons.</w:t>
      </w:r>
      <w:r>
        <w:rPr>
          <w:color w:val="000000"/>
        </w:rPr>
        <w:t xml:space="preserve"> </w:t>
      </w:r>
      <w:r w:rsidR="00446C43" w:rsidRPr="00B84766">
        <w:rPr>
          <w:color w:val="000000"/>
          <w:sz w:val="22"/>
          <w:szCs w:val="22"/>
        </w:rPr>
        <w:t>Future research is recommended to extend the observation period across multiple crop growth stages and planting seasons, involve larger and more diverse farming locations, and incorporate additional ecological variables such as natural enemy populations and climate dynamics. Integrating digital or automated light trap systems may further enhance the accuracy and applicability of economic threshold–based pest management strategies.</w:t>
      </w:r>
    </w:p>
    <w:p w14:paraId="26ACC1A5" w14:textId="77777777" w:rsidR="00B84766" w:rsidRPr="00B84766" w:rsidRDefault="00B84766" w:rsidP="00446C43">
      <w:pPr>
        <w:pStyle w:val="BodyText"/>
        <w:spacing w:before="28"/>
        <w:rPr>
          <w:color w:val="000000"/>
          <w:sz w:val="22"/>
          <w:szCs w:val="22"/>
        </w:rPr>
      </w:pPr>
    </w:p>
    <w:p w14:paraId="58FAD810" w14:textId="0244031F" w:rsidR="00446C43" w:rsidRPr="00B84766" w:rsidRDefault="00446C43" w:rsidP="00446C43">
      <w:pPr>
        <w:pStyle w:val="BodyText"/>
        <w:spacing w:before="28"/>
        <w:rPr>
          <w:color w:val="000000"/>
          <w:sz w:val="22"/>
          <w:szCs w:val="22"/>
        </w:rPr>
      </w:pPr>
      <w:r w:rsidRPr="00B84766">
        <w:rPr>
          <w:color w:val="000000"/>
          <w:sz w:val="22"/>
          <w:szCs w:val="22"/>
        </w:rPr>
        <w:t xml:space="preserve">4.3 </w:t>
      </w:r>
      <w:r w:rsidR="00E677C7">
        <w:rPr>
          <w:color w:val="000000"/>
          <w:sz w:val="22"/>
          <w:szCs w:val="22"/>
        </w:rPr>
        <w:t>Policy Imp</w:t>
      </w:r>
      <w:r w:rsidR="00D71097">
        <w:rPr>
          <w:color w:val="000000"/>
          <w:sz w:val="22"/>
          <w:szCs w:val="22"/>
        </w:rPr>
        <w:t>l</w:t>
      </w:r>
      <w:r w:rsidR="00E677C7">
        <w:rPr>
          <w:color w:val="000000"/>
          <w:sz w:val="22"/>
          <w:szCs w:val="22"/>
        </w:rPr>
        <w:t>ications</w:t>
      </w:r>
    </w:p>
    <w:p w14:paraId="2A3FC2E4" w14:textId="77777777" w:rsidR="00446C43" w:rsidRPr="00B84766" w:rsidRDefault="00446C43" w:rsidP="00446C43">
      <w:pPr>
        <w:pStyle w:val="BodyText"/>
        <w:spacing w:before="28"/>
        <w:rPr>
          <w:color w:val="000000"/>
          <w:sz w:val="22"/>
          <w:szCs w:val="22"/>
        </w:rPr>
      </w:pPr>
    </w:p>
    <w:p w14:paraId="01FDEBA6" w14:textId="6B247FF0" w:rsidR="00807CEC" w:rsidRPr="00B84766" w:rsidRDefault="00446C43" w:rsidP="00B84766">
      <w:pPr>
        <w:pStyle w:val="BodyText"/>
        <w:spacing w:before="28"/>
        <w:ind w:left="270"/>
        <w:rPr>
          <w:sz w:val="22"/>
          <w:szCs w:val="22"/>
        </w:rPr>
      </w:pPr>
      <w:r w:rsidRPr="00B84766">
        <w:rPr>
          <w:color w:val="000000"/>
          <w:sz w:val="22"/>
          <w:szCs w:val="22"/>
        </w:rPr>
        <w:t>Based on the economic analysis, pest management in the study area is recommended to focus solely on monitoring without chemical intervention, as the observed pest populations and damage levels resulted in a BCR value of only 0.075, indicating that chemical control is not economically justified. Continuous monitoring using light traps remains the most rational, efficient, and sustainable strategy under the prevailing conditions.</w:t>
      </w:r>
    </w:p>
    <w:p w14:paraId="63289437" w14:textId="77777777" w:rsidR="00326941" w:rsidRPr="00B84766" w:rsidRDefault="00326941">
      <w:pPr>
        <w:pStyle w:val="Heading2"/>
        <w:ind w:left="287"/>
        <w:rPr>
          <w:spacing w:val="-2"/>
          <w:sz w:val="22"/>
          <w:szCs w:val="22"/>
        </w:rPr>
      </w:pPr>
    </w:p>
    <w:p w14:paraId="0545FABA" w14:textId="321177AA" w:rsidR="00807CEC" w:rsidRPr="00B84766" w:rsidRDefault="00D2336B">
      <w:pPr>
        <w:pStyle w:val="Heading2"/>
        <w:ind w:left="287"/>
        <w:rPr>
          <w:sz w:val="22"/>
          <w:szCs w:val="22"/>
          <w:lang w:val="sv-SE"/>
        </w:rPr>
      </w:pPr>
      <w:r w:rsidRPr="00B84766">
        <w:rPr>
          <w:spacing w:val="-2"/>
          <w:sz w:val="22"/>
          <w:szCs w:val="22"/>
          <w:lang w:val="sv-SE"/>
        </w:rPr>
        <w:t>REFERENCES</w:t>
      </w:r>
    </w:p>
    <w:p w14:paraId="68B0669F" w14:textId="77777777" w:rsidR="00807CEC" w:rsidRPr="00B84766" w:rsidRDefault="00807CEC">
      <w:pPr>
        <w:pStyle w:val="BodyText"/>
        <w:ind w:left="0"/>
        <w:jc w:val="left"/>
        <w:rPr>
          <w:b/>
          <w:sz w:val="22"/>
          <w:szCs w:val="22"/>
          <w:lang w:val="sv-SE"/>
        </w:rPr>
      </w:pPr>
    </w:p>
    <w:p w14:paraId="589D31FA" w14:textId="77777777" w:rsidR="00B84766" w:rsidRPr="00B84766" w:rsidRDefault="00B84766" w:rsidP="00B84766">
      <w:pPr>
        <w:tabs>
          <w:tab w:val="left" w:pos="714"/>
        </w:tabs>
        <w:ind w:left="270" w:right="292"/>
        <w:rPr>
          <w:lang w:val="sv-SE"/>
        </w:rPr>
      </w:pPr>
      <w:r w:rsidRPr="00B84766">
        <w:rPr>
          <w:lang w:val="sv-SE"/>
        </w:rPr>
        <w:t>[1] Badan Pusat Statistik (BPS), Produksi Tanaman Sayuran, ISSN 2086-4955, Jakarta, Indonesia, 2024.</w:t>
      </w:r>
    </w:p>
    <w:p w14:paraId="21931FAF" w14:textId="77777777" w:rsidR="00B84766" w:rsidRPr="00B84766" w:rsidRDefault="00B84766" w:rsidP="00B84766">
      <w:pPr>
        <w:tabs>
          <w:tab w:val="left" w:pos="714"/>
        </w:tabs>
        <w:ind w:left="270" w:right="292"/>
        <w:rPr>
          <w:lang w:val="sv-SE"/>
        </w:rPr>
      </w:pPr>
    </w:p>
    <w:p w14:paraId="24334A94" w14:textId="77777777" w:rsidR="00B84766" w:rsidRPr="00B84766" w:rsidRDefault="00B84766" w:rsidP="00B84766">
      <w:pPr>
        <w:tabs>
          <w:tab w:val="left" w:pos="714"/>
        </w:tabs>
        <w:ind w:left="270" w:right="292"/>
      </w:pPr>
      <w:r w:rsidRPr="00B84766">
        <w:t>[2] Y. Chen, W. Li, and X. Zhou, “Correlation between light trap catches and actual field population density of tomato fruit borer,” Crop Protection, vol. 158, p. 106017, 2022.</w:t>
      </w:r>
    </w:p>
    <w:p w14:paraId="5EC0C69D" w14:textId="77777777" w:rsidR="00B84766" w:rsidRPr="00B84766" w:rsidRDefault="00B84766" w:rsidP="00B84766">
      <w:pPr>
        <w:tabs>
          <w:tab w:val="left" w:pos="714"/>
        </w:tabs>
        <w:ind w:left="270" w:right="292"/>
      </w:pPr>
    </w:p>
    <w:p w14:paraId="24904D61" w14:textId="77777777" w:rsidR="00B84766" w:rsidRPr="00B84766" w:rsidRDefault="00B84766" w:rsidP="00B84766">
      <w:pPr>
        <w:tabs>
          <w:tab w:val="left" w:pos="714"/>
        </w:tabs>
        <w:ind w:left="270" w:right="292"/>
      </w:pPr>
      <w:r w:rsidRPr="00B84766">
        <w:t>[3] Climate-Data.org, “Climate data for Lembang, West Java, Indonesia,” 2025. [Online]. Available: https://id.climate-data.org/asia/indonesia/west-java/lembang974703/t/oktober-10/</w:t>
      </w:r>
    </w:p>
    <w:p w14:paraId="4EF53BA2" w14:textId="77777777" w:rsidR="00B84766" w:rsidRPr="00B84766" w:rsidRDefault="00B84766" w:rsidP="00B84766">
      <w:pPr>
        <w:tabs>
          <w:tab w:val="left" w:pos="714"/>
        </w:tabs>
        <w:ind w:left="270" w:right="292"/>
      </w:pPr>
      <w:r w:rsidRPr="00B84766">
        <w:t>. [Accessed: Nov. 29, 2025].</w:t>
      </w:r>
    </w:p>
    <w:p w14:paraId="30FD94F0" w14:textId="77777777" w:rsidR="00B84766" w:rsidRPr="00B84766" w:rsidRDefault="00B84766" w:rsidP="00B84766">
      <w:pPr>
        <w:tabs>
          <w:tab w:val="left" w:pos="714"/>
        </w:tabs>
        <w:ind w:left="270" w:right="292"/>
      </w:pPr>
    </w:p>
    <w:p w14:paraId="0B4781EC" w14:textId="77777777" w:rsidR="00B84766" w:rsidRPr="00B84766" w:rsidRDefault="00B84766" w:rsidP="00B84766">
      <w:pPr>
        <w:tabs>
          <w:tab w:val="left" w:pos="714"/>
        </w:tabs>
        <w:ind w:left="270" w:right="292"/>
      </w:pPr>
      <w:r w:rsidRPr="00B84766">
        <w:t>[4] M. Kogan, “Integrated pest management: Historical perspectives and contemporary developments,” Annual Review of Entomology, vol. 43, pp. 243–270, 1998.</w:t>
      </w:r>
    </w:p>
    <w:p w14:paraId="51500031" w14:textId="77777777" w:rsidR="00B84766" w:rsidRPr="00B84766" w:rsidRDefault="00B84766" w:rsidP="00B84766">
      <w:pPr>
        <w:tabs>
          <w:tab w:val="left" w:pos="714"/>
        </w:tabs>
        <w:ind w:left="270" w:right="292"/>
      </w:pPr>
    </w:p>
    <w:p w14:paraId="05244041" w14:textId="77777777" w:rsidR="00B84766" w:rsidRPr="00B84766" w:rsidRDefault="00B84766" w:rsidP="00B84766">
      <w:pPr>
        <w:tabs>
          <w:tab w:val="left" w:pos="714"/>
        </w:tabs>
        <w:ind w:left="270" w:right="292"/>
      </w:pPr>
      <w:r w:rsidRPr="00B84766">
        <w:t>[5] A. Kumar, R. Singh, and S. Patel, “IoT-based smart light trap system with automatic pest identification for tomato cultivation,” Computers and Electronics in Agriculture, vol. 204, p. 107568, 2023.</w:t>
      </w:r>
    </w:p>
    <w:p w14:paraId="5AC1B908" w14:textId="77777777" w:rsidR="00B84766" w:rsidRPr="00B84766" w:rsidRDefault="00B84766" w:rsidP="00B84766">
      <w:pPr>
        <w:tabs>
          <w:tab w:val="left" w:pos="714"/>
        </w:tabs>
        <w:ind w:left="270" w:right="292"/>
      </w:pPr>
    </w:p>
    <w:p w14:paraId="54E44351" w14:textId="77777777" w:rsidR="00B84766" w:rsidRPr="00B84766" w:rsidRDefault="00B84766" w:rsidP="00B84766">
      <w:pPr>
        <w:tabs>
          <w:tab w:val="left" w:pos="714"/>
        </w:tabs>
        <w:ind w:left="270" w:right="292"/>
      </w:pPr>
      <w:r w:rsidRPr="00B84766">
        <w:t xml:space="preserve">[6] R. </w:t>
      </w:r>
      <w:proofErr w:type="spellStart"/>
      <w:r w:rsidRPr="00B84766">
        <w:t>Muniappan</w:t>
      </w:r>
      <w:proofErr w:type="spellEnd"/>
      <w:r w:rsidRPr="00B84766">
        <w:t xml:space="preserve"> et al., “Pest management of tomato in tropical Asia,” Acta </w:t>
      </w:r>
      <w:proofErr w:type="spellStart"/>
      <w:r w:rsidRPr="00B84766">
        <w:t>Horticulturae</w:t>
      </w:r>
      <w:proofErr w:type="spellEnd"/>
      <w:r w:rsidRPr="00B84766">
        <w:t>, vol. 926, pp. 211–223, 2012.</w:t>
      </w:r>
    </w:p>
    <w:p w14:paraId="53F76B58" w14:textId="77777777" w:rsidR="00B84766" w:rsidRPr="00B84766" w:rsidRDefault="00B84766" w:rsidP="00B84766">
      <w:pPr>
        <w:tabs>
          <w:tab w:val="left" w:pos="714"/>
        </w:tabs>
        <w:ind w:left="270" w:right="292"/>
      </w:pPr>
    </w:p>
    <w:p w14:paraId="55DDDE8B" w14:textId="77777777" w:rsidR="00B84766" w:rsidRPr="00B84766" w:rsidRDefault="00B84766" w:rsidP="00B84766">
      <w:pPr>
        <w:tabs>
          <w:tab w:val="left" w:pos="714"/>
        </w:tabs>
        <w:ind w:left="270" w:right="292"/>
      </w:pPr>
      <w:r w:rsidRPr="00B84766">
        <w:t>[7] F. R. Musser and A. M. Shelton, “The economic impact of insecticide resistance in the Colorado potato beetle: A case study of the Michigan potato industry,” Journal of Agricultural and Resource Economics, vol. 28, no. 2, pp. 315–333, 2003.</w:t>
      </w:r>
    </w:p>
    <w:p w14:paraId="3BAF5097" w14:textId="77777777" w:rsidR="00B84766" w:rsidRPr="00B84766" w:rsidRDefault="00B84766" w:rsidP="00B84766">
      <w:pPr>
        <w:tabs>
          <w:tab w:val="left" w:pos="714"/>
        </w:tabs>
        <w:ind w:left="270" w:right="292"/>
      </w:pPr>
    </w:p>
    <w:p w14:paraId="4FB37F61" w14:textId="77777777" w:rsidR="00B84766" w:rsidRPr="00B84766" w:rsidRDefault="00B84766" w:rsidP="00B84766">
      <w:pPr>
        <w:tabs>
          <w:tab w:val="left" w:pos="714"/>
        </w:tabs>
        <w:ind w:left="270" w:right="292"/>
      </w:pPr>
      <w:r w:rsidRPr="00B84766">
        <w:lastRenderedPageBreak/>
        <w:t>[8] T. H. Nguyen, M. D. Tran, and V. H. Le, “Nationwide implementation of light trap-based pest monitoring system for vegetable production in Vietnam,” Crop Protection, vol. 161, p. 106075, 2022.</w:t>
      </w:r>
    </w:p>
    <w:p w14:paraId="342A93DD" w14:textId="77777777" w:rsidR="00B84766" w:rsidRPr="00B84766" w:rsidRDefault="00B84766" w:rsidP="00B84766">
      <w:pPr>
        <w:tabs>
          <w:tab w:val="left" w:pos="714"/>
        </w:tabs>
        <w:ind w:left="270" w:right="292"/>
      </w:pPr>
    </w:p>
    <w:p w14:paraId="60776724" w14:textId="77777777" w:rsidR="00B84766" w:rsidRPr="00B84766" w:rsidRDefault="00B84766" w:rsidP="00B84766">
      <w:pPr>
        <w:tabs>
          <w:tab w:val="left" w:pos="714"/>
        </w:tabs>
        <w:ind w:left="270" w:right="292"/>
      </w:pPr>
      <w:r w:rsidRPr="00B84766">
        <w:t>[9] L. Nowinszky, The Handbook of Light Trapping. Szombathely, Hungary: Savaria University Press, 2003.</w:t>
      </w:r>
    </w:p>
    <w:p w14:paraId="5FBCB275" w14:textId="77777777" w:rsidR="00B84766" w:rsidRPr="00B84766" w:rsidRDefault="00B84766" w:rsidP="00B84766">
      <w:pPr>
        <w:tabs>
          <w:tab w:val="left" w:pos="714"/>
        </w:tabs>
        <w:ind w:left="270" w:right="292"/>
      </w:pPr>
    </w:p>
    <w:p w14:paraId="65171F4C" w14:textId="77777777" w:rsidR="00B84766" w:rsidRPr="00B84766" w:rsidRDefault="00B84766" w:rsidP="00B84766">
      <w:pPr>
        <w:tabs>
          <w:tab w:val="left" w:pos="714"/>
        </w:tabs>
        <w:ind w:left="270" w:right="292"/>
      </w:pPr>
      <w:r w:rsidRPr="00B84766">
        <w:t xml:space="preserve">[10] S. </w:t>
      </w:r>
      <w:proofErr w:type="spellStart"/>
      <w:r w:rsidRPr="00B84766">
        <w:t>Nurjanah</w:t>
      </w:r>
      <w:proofErr w:type="spellEnd"/>
      <w:r w:rsidRPr="00B84766">
        <w:t>, P. Hidayat, and Dadang, “Economic losses due to major pests in tomato cultivation in West Java, Indonesia,” Journal of Tropical Plant Protection, vol. 8, no. 1, pp. 45–58, 2022.</w:t>
      </w:r>
    </w:p>
    <w:p w14:paraId="43189CEC" w14:textId="77777777" w:rsidR="00B84766" w:rsidRPr="00B84766" w:rsidRDefault="00B84766" w:rsidP="00B84766">
      <w:pPr>
        <w:tabs>
          <w:tab w:val="left" w:pos="714"/>
        </w:tabs>
        <w:ind w:left="270" w:right="292"/>
      </w:pPr>
    </w:p>
    <w:p w14:paraId="2248DC4F" w14:textId="77777777" w:rsidR="00B84766" w:rsidRPr="00B84766" w:rsidRDefault="00B84766" w:rsidP="00B84766">
      <w:pPr>
        <w:tabs>
          <w:tab w:val="left" w:pos="714"/>
        </w:tabs>
        <w:ind w:left="270" w:right="292"/>
      </w:pPr>
      <w:r w:rsidRPr="00B84766">
        <w:t>[11] L. P. Pedigo and M. E. Rice, Entomology and Pest Management, 6th ed. Long Grove, IL, USA: Waveland Press, 2014.</w:t>
      </w:r>
    </w:p>
    <w:p w14:paraId="60387C9E" w14:textId="77777777" w:rsidR="00B84766" w:rsidRPr="00B84766" w:rsidRDefault="00B84766" w:rsidP="00B84766">
      <w:pPr>
        <w:tabs>
          <w:tab w:val="left" w:pos="714"/>
        </w:tabs>
        <w:ind w:left="270" w:right="292"/>
      </w:pPr>
    </w:p>
    <w:p w14:paraId="7211A2E5" w14:textId="77777777" w:rsidR="00B84766" w:rsidRPr="00B84766" w:rsidRDefault="00B84766" w:rsidP="00B84766">
      <w:pPr>
        <w:tabs>
          <w:tab w:val="left" w:pos="714"/>
        </w:tabs>
        <w:ind w:left="270" w:right="292"/>
      </w:pPr>
      <w:r w:rsidRPr="00B84766">
        <w:t>[12] R. K. D. Peterson et al., “Economic impact of insect pests in agriculture: A review,” USDA Annual Report, Washington, DC, USA, 2009.</w:t>
      </w:r>
    </w:p>
    <w:p w14:paraId="29A321CE" w14:textId="77777777" w:rsidR="00B84766" w:rsidRPr="00B84766" w:rsidRDefault="00B84766" w:rsidP="00B84766">
      <w:pPr>
        <w:tabs>
          <w:tab w:val="left" w:pos="714"/>
        </w:tabs>
        <w:ind w:left="270" w:right="292"/>
      </w:pPr>
    </w:p>
    <w:p w14:paraId="7254A3FD" w14:textId="77777777" w:rsidR="00B84766" w:rsidRPr="00B84766" w:rsidRDefault="00B84766" w:rsidP="00B84766">
      <w:pPr>
        <w:tabs>
          <w:tab w:val="left" w:pos="714"/>
        </w:tabs>
        <w:ind w:left="270" w:right="292"/>
      </w:pPr>
      <w:r w:rsidRPr="00B84766">
        <w:t>[13] T. Rahman and A. Rauf, “Determination of economic injury level and economic threshold of major insect pests in tomato cultivation,” Journal of Crop Protection, vol. 8, no. 3, pp. 321–332, 2019.</w:t>
      </w:r>
    </w:p>
    <w:p w14:paraId="34241E0B" w14:textId="77777777" w:rsidR="00B84766" w:rsidRPr="00B84766" w:rsidRDefault="00B84766" w:rsidP="00B84766">
      <w:pPr>
        <w:tabs>
          <w:tab w:val="left" w:pos="714"/>
        </w:tabs>
        <w:ind w:left="270" w:right="292"/>
      </w:pPr>
    </w:p>
    <w:p w14:paraId="68A14CA8" w14:textId="77777777" w:rsidR="00B84766" w:rsidRPr="00B84766" w:rsidRDefault="00B84766" w:rsidP="00B84766">
      <w:pPr>
        <w:tabs>
          <w:tab w:val="left" w:pos="714"/>
        </w:tabs>
        <w:ind w:left="270" w:right="292"/>
      </w:pPr>
      <w:r w:rsidRPr="00B84766">
        <w:t>[14] S. G. Reyes, V. R. Ocampo, and B. L. Caolli, “Site-specific economic injury levels for major tomato pests in Southeast Asian highlands,” Tropical Agriculture, vol. 101, no. 1, pp. 67–82, 2024.</w:t>
      </w:r>
    </w:p>
    <w:p w14:paraId="0F06BFDF" w14:textId="77777777" w:rsidR="00B84766" w:rsidRPr="00B84766" w:rsidRDefault="00B84766" w:rsidP="00B84766">
      <w:pPr>
        <w:tabs>
          <w:tab w:val="left" w:pos="714"/>
        </w:tabs>
        <w:ind w:left="270" w:right="292"/>
      </w:pPr>
    </w:p>
    <w:p w14:paraId="10FB84A3" w14:textId="77777777" w:rsidR="00B84766" w:rsidRPr="00B84766" w:rsidRDefault="00B84766" w:rsidP="00B84766">
      <w:pPr>
        <w:tabs>
          <w:tab w:val="left" w:pos="714"/>
        </w:tabs>
        <w:ind w:left="270" w:right="292"/>
        <w:rPr>
          <w:lang w:val="sv-SE"/>
        </w:rPr>
      </w:pPr>
      <w:r w:rsidRPr="00B84766">
        <w:rPr>
          <w:lang w:val="sv-SE"/>
        </w:rPr>
        <w:t>[15] W. Setiawati et al., “Dinamika populasi hama dan musuh alami pada pertanaman sayuran di Lembang,” Jurnal Perlindungan Tanaman Indonesia, vol. 19, no. 1, pp. 1–10, 2015.</w:t>
      </w:r>
    </w:p>
    <w:p w14:paraId="1C1C24A7" w14:textId="77777777" w:rsidR="00B84766" w:rsidRPr="00B84766" w:rsidRDefault="00B84766" w:rsidP="00B84766">
      <w:pPr>
        <w:tabs>
          <w:tab w:val="left" w:pos="714"/>
        </w:tabs>
        <w:ind w:left="270" w:right="292"/>
        <w:rPr>
          <w:lang w:val="sv-SE"/>
        </w:rPr>
      </w:pPr>
    </w:p>
    <w:p w14:paraId="7EB6E06C" w14:textId="77777777" w:rsidR="00B84766" w:rsidRPr="00B84766" w:rsidRDefault="00B84766" w:rsidP="00B84766">
      <w:pPr>
        <w:tabs>
          <w:tab w:val="left" w:pos="714"/>
        </w:tabs>
        <w:ind w:left="270" w:right="292"/>
      </w:pPr>
      <w:r w:rsidRPr="00B84766">
        <w:t xml:space="preserve">[16] V. M. Stern et al., “The integration of chemical and biological control of the spotted alfalfa aphid,” </w:t>
      </w:r>
      <w:proofErr w:type="spellStart"/>
      <w:r w:rsidRPr="00B84766">
        <w:t>Hilgardia</w:t>
      </w:r>
      <w:proofErr w:type="spellEnd"/>
      <w:r w:rsidRPr="00B84766">
        <w:t>, vol. 29, no. 2, pp. 81–101, 1959.</w:t>
      </w:r>
    </w:p>
    <w:p w14:paraId="48CC938F" w14:textId="77777777" w:rsidR="00B84766" w:rsidRPr="00B84766" w:rsidRDefault="00B84766" w:rsidP="00B84766">
      <w:pPr>
        <w:tabs>
          <w:tab w:val="left" w:pos="714"/>
        </w:tabs>
        <w:ind w:left="270" w:right="292"/>
      </w:pPr>
    </w:p>
    <w:p w14:paraId="6B45A665" w14:textId="77777777" w:rsidR="00B84766" w:rsidRPr="00B84766" w:rsidRDefault="00B84766" w:rsidP="00B84766">
      <w:pPr>
        <w:tabs>
          <w:tab w:val="left" w:pos="714"/>
        </w:tabs>
        <w:ind w:left="270" w:right="292"/>
      </w:pPr>
      <w:r w:rsidRPr="00B84766">
        <w:t xml:space="preserve">[17] J. D. Stone and L. P. Pedigo, “Development and economic-injury level of the green </w:t>
      </w:r>
      <w:proofErr w:type="spellStart"/>
      <w:r w:rsidRPr="00B84766">
        <w:t>cloverworm</w:t>
      </w:r>
      <w:proofErr w:type="spellEnd"/>
      <w:r w:rsidRPr="00B84766">
        <w:t xml:space="preserve"> on soybean in Iowa,” Journal of Economic Entomology, vol. 65, no. 1, pp. 197–201, 1972.</w:t>
      </w:r>
    </w:p>
    <w:p w14:paraId="6A0D5B89" w14:textId="77777777" w:rsidR="00B84766" w:rsidRPr="00B84766" w:rsidRDefault="00B84766" w:rsidP="00B84766">
      <w:pPr>
        <w:tabs>
          <w:tab w:val="left" w:pos="714"/>
        </w:tabs>
        <w:ind w:left="270" w:right="292"/>
      </w:pPr>
    </w:p>
    <w:p w14:paraId="1D7D97E0" w14:textId="77777777" w:rsidR="00B84766" w:rsidRPr="00B84766" w:rsidRDefault="00B84766" w:rsidP="00B84766">
      <w:pPr>
        <w:tabs>
          <w:tab w:val="left" w:pos="714"/>
        </w:tabs>
        <w:ind w:left="270" w:right="292"/>
      </w:pPr>
      <w:r w:rsidRPr="00B84766">
        <w:t>[18] J. T. Trumble and B. Alvarado-Rodriguez, “Development and economic evaluation of an IPM program for fresh market tomato production in Mexico,” Journal of Economic Entomology, vol. 86, no. 1, pp. 1–10, 1993.</w:t>
      </w:r>
    </w:p>
    <w:p w14:paraId="76381E93" w14:textId="77777777" w:rsidR="00B84766" w:rsidRPr="00B84766" w:rsidRDefault="00B84766" w:rsidP="00B84766">
      <w:pPr>
        <w:tabs>
          <w:tab w:val="left" w:pos="714"/>
        </w:tabs>
        <w:ind w:left="270" w:right="292"/>
      </w:pPr>
    </w:p>
    <w:p w14:paraId="61F9E210" w14:textId="77777777" w:rsidR="00B84766" w:rsidRPr="00B84766" w:rsidRDefault="00B84766" w:rsidP="00B84766">
      <w:pPr>
        <w:tabs>
          <w:tab w:val="left" w:pos="714"/>
        </w:tabs>
        <w:ind w:left="270" w:right="292"/>
      </w:pPr>
      <w:r w:rsidRPr="00B84766">
        <w:t>[19] X. Wang, Y. Zhang, and Z. Liu, “Integrated benefit–cost analysis of tomato pest management strategies with environmental consideration,” Journal of Cleaner Production, vol. 434, p. 139857, 2024.</w:t>
      </w:r>
    </w:p>
    <w:p w14:paraId="4A6278F9" w14:textId="77777777" w:rsidR="00B84766" w:rsidRPr="00B84766" w:rsidRDefault="00B84766" w:rsidP="00B84766">
      <w:pPr>
        <w:tabs>
          <w:tab w:val="left" w:pos="714"/>
        </w:tabs>
        <w:ind w:left="270" w:right="292"/>
      </w:pPr>
    </w:p>
    <w:p w14:paraId="3EC7B748" w14:textId="77777777" w:rsidR="00B84766" w:rsidRPr="00B84766" w:rsidRDefault="00B84766" w:rsidP="00B84766">
      <w:pPr>
        <w:tabs>
          <w:tab w:val="left" w:pos="714"/>
        </w:tabs>
        <w:ind w:left="270" w:right="292"/>
      </w:pPr>
      <w:r w:rsidRPr="00B84766">
        <w:t xml:space="preserve">[20] U. </w:t>
      </w:r>
      <w:proofErr w:type="spellStart"/>
      <w:r w:rsidRPr="00B84766">
        <w:t>Widyastama</w:t>
      </w:r>
      <w:proofErr w:type="spellEnd"/>
      <w:r w:rsidRPr="00B84766">
        <w:t xml:space="preserve"> et al., “</w:t>
      </w:r>
      <w:proofErr w:type="spellStart"/>
      <w:r w:rsidRPr="00B84766">
        <w:t>Efektivitas</w:t>
      </w:r>
      <w:proofErr w:type="spellEnd"/>
      <w:r w:rsidRPr="00B84766">
        <w:t xml:space="preserve"> </w:t>
      </w:r>
      <w:proofErr w:type="spellStart"/>
      <w:r w:rsidRPr="00B84766">
        <w:t>berbagai</w:t>
      </w:r>
      <w:proofErr w:type="spellEnd"/>
      <w:r w:rsidRPr="00B84766">
        <w:t xml:space="preserve"> </w:t>
      </w:r>
      <w:proofErr w:type="spellStart"/>
      <w:r w:rsidRPr="00B84766">
        <w:t>jenis</w:t>
      </w:r>
      <w:proofErr w:type="spellEnd"/>
      <w:r w:rsidRPr="00B84766">
        <w:t xml:space="preserve"> </w:t>
      </w:r>
      <w:proofErr w:type="spellStart"/>
      <w:r w:rsidRPr="00B84766">
        <w:t>perangkap</w:t>
      </w:r>
      <w:proofErr w:type="spellEnd"/>
      <w:r w:rsidRPr="00B84766">
        <w:t xml:space="preserve"> </w:t>
      </w:r>
      <w:proofErr w:type="spellStart"/>
      <w:r w:rsidRPr="00B84766">
        <w:t>cahaya</w:t>
      </w:r>
      <w:proofErr w:type="spellEnd"/>
      <w:r w:rsidRPr="00B84766">
        <w:t xml:space="preserve"> untuk monitoring </w:t>
      </w:r>
      <w:proofErr w:type="spellStart"/>
      <w:r w:rsidRPr="00B84766">
        <w:t>hama</w:t>
      </w:r>
      <w:proofErr w:type="spellEnd"/>
      <w:r w:rsidRPr="00B84766">
        <w:t xml:space="preserve"> </w:t>
      </w:r>
      <w:proofErr w:type="spellStart"/>
      <w:r w:rsidRPr="00B84766">
        <w:t>sayuran</w:t>
      </w:r>
      <w:proofErr w:type="spellEnd"/>
      <w:r w:rsidRPr="00B84766">
        <w:t xml:space="preserve"> di Lembang,” </w:t>
      </w:r>
      <w:proofErr w:type="spellStart"/>
      <w:r w:rsidRPr="00B84766">
        <w:t>Jurnal</w:t>
      </w:r>
      <w:proofErr w:type="spellEnd"/>
      <w:r w:rsidRPr="00B84766">
        <w:t xml:space="preserve"> </w:t>
      </w:r>
      <w:proofErr w:type="spellStart"/>
      <w:r w:rsidRPr="00B84766">
        <w:t>Hortikultura</w:t>
      </w:r>
      <w:proofErr w:type="spellEnd"/>
      <w:r w:rsidRPr="00B84766">
        <w:t xml:space="preserve"> Indonesia, vol. 9, no. 2, pp. 89–97, 2018.</w:t>
      </w:r>
    </w:p>
    <w:p w14:paraId="0ECF224C" w14:textId="77777777" w:rsidR="00B84766" w:rsidRPr="00B84766" w:rsidRDefault="00B84766" w:rsidP="00B84766">
      <w:pPr>
        <w:tabs>
          <w:tab w:val="left" w:pos="714"/>
        </w:tabs>
        <w:ind w:left="270" w:right="292"/>
      </w:pPr>
    </w:p>
    <w:p w14:paraId="3B63689E" w14:textId="77777777" w:rsidR="00B84766" w:rsidRPr="00B84766" w:rsidRDefault="00B84766" w:rsidP="00B84766">
      <w:pPr>
        <w:tabs>
          <w:tab w:val="left" w:pos="714"/>
        </w:tabs>
        <w:ind w:left="270" w:right="292"/>
      </w:pPr>
      <w:r w:rsidRPr="00B84766">
        <w:t>[21] L. Zhang, H. Wang, and J. Chen, “Optimization of light trap parameters for monitoring nocturnal pests in tomato fields,” Journal of Economic Entomology, vol. 117, no. 1, pp. 215–228, 2024.</w:t>
      </w:r>
    </w:p>
    <w:p w14:paraId="6FB15946" w14:textId="77777777" w:rsidR="00B84766" w:rsidRPr="00B84766" w:rsidRDefault="00B84766" w:rsidP="00B84766">
      <w:pPr>
        <w:tabs>
          <w:tab w:val="left" w:pos="714"/>
        </w:tabs>
        <w:ind w:left="270" w:right="292"/>
      </w:pPr>
    </w:p>
    <w:p w14:paraId="378042FA" w14:textId="01BAD782" w:rsidR="00807CEC" w:rsidRPr="00B84766" w:rsidRDefault="00B84766" w:rsidP="00B84766">
      <w:pPr>
        <w:tabs>
          <w:tab w:val="left" w:pos="714"/>
        </w:tabs>
        <w:ind w:left="270" w:right="292"/>
      </w:pPr>
      <w:r w:rsidRPr="00B84766">
        <w:t xml:space="preserve">[22] C. Zhou et al., “Economic threshold for Spodoptera </w:t>
      </w:r>
      <w:proofErr w:type="spellStart"/>
      <w:r w:rsidRPr="00B84766">
        <w:t>frugiperda</w:t>
      </w:r>
      <w:proofErr w:type="spellEnd"/>
      <w:r w:rsidRPr="00B84766">
        <w:t xml:space="preserve"> on maize in East Africa,” Crop Protection, vol. 143, p. 105531, 2021.</w:t>
      </w:r>
    </w:p>
    <w:sectPr w:rsidR="00807CEC" w:rsidRPr="00B84766" w:rsidSect="00E11315">
      <w:footerReference w:type="even" r:id="rId9"/>
      <w:footerReference w:type="default" r:id="rId10"/>
      <w:pgSz w:w="12240" w:h="15840"/>
      <w:pgMar w:top="880" w:right="720" w:bottom="880" w:left="720" w:header="0" w:footer="6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E7B1C" w14:textId="77777777" w:rsidR="00A156CD" w:rsidRDefault="00A156CD">
      <w:r>
        <w:separator/>
      </w:r>
    </w:p>
  </w:endnote>
  <w:endnote w:type="continuationSeparator" w:id="0">
    <w:p w14:paraId="7C0A953D" w14:textId="77777777" w:rsidR="00A156CD" w:rsidRDefault="00A15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29D6B" w14:textId="77777777" w:rsidR="00807CEC" w:rsidRDefault="00D2336B">
    <w:pPr>
      <w:pStyle w:val="BodyText"/>
      <w:spacing w:line="14" w:lineRule="auto"/>
      <w:ind w:left="0"/>
      <w:jc w:val="left"/>
      <w:rPr>
        <w:sz w:val="20"/>
      </w:rPr>
    </w:pPr>
    <w:r>
      <w:rPr>
        <w:noProof/>
        <w:sz w:val="20"/>
      </w:rPr>
      <mc:AlternateContent>
        <mc:Choice Requires="wps">
          <w:drawing>
            <wp:anchor distT="0" distB="0" distL="0" distR="0" simplePos="0" relativeHeight="251660800" behindDoc="1" locked="0" layoutInCell="1" allowOverlap="1" wp14:anchorId="554E3721" wp14:editId="34A5D224">
              <wp:simplePos x="0" y="0"/>
              <wp:positionH relativeFrom="page">
                <wp:posOffset>6783069</wp:posOffset>
              </wp:positionH>
              <wp:positionV relativeFrom="page">
                <wp:posOffset>9476943</wp:posOffset>
              </wp:positionV>
              <wp:extent cx="401955" cy="13843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1955" cy="138430"/>
                      </a:xfrm>
                      <a:prstGeom prst="rect">
                        <a:avLst/>
                      </a:prstGeom>
                    </wps:spPr>
                    <wps:txbx>
                      <w:txbxContent>
                        <w:p w14:paraId="4B90479C" w14:textId="77777777" w:rsidR="00807CEC" w:rsidRDefault="00D2336B">
                          <w:pPr>
                            <w:spacing w:before="5"/>
                            <w:ind w:left="20"/>
                            <w:rPr>
                              <w:rFonts w:ascii="Arial"/>
                              <w:b/>
                              <w:sz w:val="16"/>
                            </w:rPr>
                          </w:pPr>
                          <w:r>
                            <w:rPr>
                              <w:rFonts w:ascii="Arial"/>
                              <w:b/>
                              <w:w w:val="85"/>
                              <w:sz w:val="16"/>
                            </w:rPr>
                            <w:t>Page</w:t>
                          </w:r>
                          <w:r>
                            <w:rPr>
                              <w:rFonts w:ascii="Arial"/>
                              <w:b/>
                              <w:spacing w:val="-6"/>
                              <w:sz w:val="16"/>
                            </w:rPr>
                            <w:t xml:space="preserve"> </w:t>
                          </w:r>
                          <w:r>
                            <w:rPr>
                              <w:rFonts w:ascii="Arial"/>
                              <w:b/>
                              <w:w w:val="85"/>
                              <w:sz w:val="16"/>
                            </w:rPr>
                            <w:t>|</w:t>
                          </w:r>
                          <w:r>
                            <w:rPr>
                              <w:rFonts w:ascii="Arial"/>
                              <w:b/>
                              <w:spacing w:val="-5"/>
                              <w:sz w:val="16"/>
                            </w:rPr>
                            <w:t xml:space="preserve"> </w:t>
                          </w:r>
                          <w:r>
                            <w:rPr>
                              <w:rFonts w:ascii="Arial"/>
                              <w:b/>
                              <w:spacing w:val="-10"/>
                              <w:w w:val="85"/>
                              <w:sz w:val="16"/>
                            </w:rPr>
                            <w:fldChar w:fldCharType="begin"/>
                          </w:r>
                          <w:r>
                            <w:rPr>
                              <w:rFonts w:ascii="Arial"/>
                              <w:b/>
                              <w:spacing w:val="-10"/>
                              <w:w w:val="85"/>
                              <w:sz w:val="16"/>
                            </w:rPr>
                            <w:instrText xml:space="preserve"> PAGE </w:instrText>
                          </w:r>
                          <w:r>
                            <w:rPr>
                              <w:rFonts w:ascii="Arial"/>
                              <w:b/>
                              <w:spacing w:val="-10"/>
                              <w:w w:val="85"/>
                              <w:sz w:val="16"/>
                            </w:rPr>
                            <w:fldChar w:fldCharType="separate"/>
                          </w:r>
                          <w:r w:rsidR="00E11315">
                            <w:rPr>
                              <w:rFonts w:ascii="Arial"/>
                              <w:b/>
                              <w:noProof/>
                              <w:spacing w:val="-10"/>
                              <w:w w:val="85"/>
                              <w:sz w:val="16"/>
                            </w:rPr>
                            <w:t>2</w:t>
                          </w:r>
                          <w:r>
                            <w:rPr>
                              <w:rFonts w:ascii="Arial"/>
                              <w:b/>
                              <w:spacing w:val="-10"/>
                              <w:w w:val="85"/>
                              <w:sz w:val="16"/>
                            </w:rPr>
                            <w:fldChar w:fldCharType="end"/>
                          </w:r>
                        </w:p>
                      </w:txbxContent>
                    </wps:txbx>
                    <wps:bodyPr wrap="square" lIns="0" tIns="0" rIns="0" bIns="0" rtlCol="0">
                      <a:noAutofit/>
                    </wps:bodyPr>
                  </wps:wsp>
                </a:graphicData>
              </a:graphic>
            </wp:anchor>
          </w:drawing>
        </mc:Choice>
        <mc:Fallback>
          <w:pict>
            <v:shapetype w14:anchorId="554E3721" id="_x0000_t202" coordsize="21600,21600" o:spt="202" path="m,l,21600r21600,l21600,xe">
              <v:stroke joinstyle="miter"/>
              <v:path gradientshapeok="t" o:connecttype="rect"/>
            </v:shapetype>
            <v:shape id="Textbox 11" o:spid="_x0000_s1026" type="#_x0000_t202" style="position:absolute;margin-left:534.1pt;margin-top:746.2pt;width:31.65pt;height:10.9pt;z-index:-25165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" filled="f" stroked="f">
              <v:textbox inset="0,0,0,0">
                <w:txbxContent>
                  <w:p w14:paraId="4B90479C" w14:textId="77777777" w:rsidR="00807CEC" w:rsidRDefault="00D2336B">
                    <w:pPr>
                      <w:spacing w:before="5"/>
                      <w:ind w:left="20"/>
                      <w:rPr>
                        <w:rFonts w:ascii="Arial"/>
                        <w:b/>
                        <w:sz w:val="16"/>
                      </w:rPr>
                    </w:pPr>
                    <w:r>
                      <w:rPr>
                        <w:rFonts w:ascii="Arial"/>
                        <w:b/>
                        <w:w w:val="85"/>
                        <w:sz w:val="16"/>
                      </w:rPr>
                      <w:t>Page</w:t>
                    </w:r>
                    <w:r>
                      <w:rPr>
                        <w:rFonts w:ascii="Arial"/>
                        <w:b/>
                        <w:spacing w:val="-6"/>
                        <w:sz w:val="16"/>
                      </w:rPr>
                      <w:t xml:space="preserve"> </w:t>
                    </w:r>
                    <w:r>
                      <w:rPr>
                        <w:rFonts w:ascii="Arial"/>
                        <w:b/>
                        <w:w w:val="85"/>
                        <w:sz w:val="16"/>
                      </w:rPr>
                      <w:t>|</w:t>
                    </w:r>
                    <w:r>
                      <w:rPr>
                        <w:rFonts w:ascii="Arial"/>
                        <w:b/>
                        <w:spacing w:val="-5"/>
                        <w:sz w:val="16"/>
                      </w:rPr>
                      <w:t xml:space="preserve"> </w:t>
                    </w:r>
                    <w:r>
                      <w:rPr>
                        <w:rFonts w:ascii="Arial"/>
                        <w:b/>
                        <w:spacing w:val="-10"/>
                        <w:w w:val="85"/>
                        <w:sz w:val="16"/>
                      </w:rPr>
                      <w:fldChar w:fldCharType="begin"/>
                    </w:r>
                    <w:r>
                      <w:rPr>
                        <w:rFonts w:ascii="Arial"/>
                        <w:b/>
                        <w:spacing w:val="-10"/>
                        <w:w w:val="85"/>
                        <w:sz w:val="16"/>
                      </w:rPr>
                      <w:instrText xml:space="preserve"> PAGE </w:instrText>
                    </w:r>
                    <w:r>
                      <w:rPr>
                        <w:rFonts w:ascii="Arial"/>
                        <w:b/>
                        <w:spacing w:val="-10"/>
                        <w:w w:val="85"/>
                        <w:sz w:val="16"/>
                      </w:rPr>
                      <w:fldChar w:fldCharType="separate"/>
                    </w:r>
                    <w:r w:rsidR="00E11315">
                      <w:rPr>
                        <w:rFonts w:ascii="Arial"/>
                        <w:b/>
                        <w:noProof/>
                        <w:spacing w:val="-10"/>
                        <w:w w:val="85"/>
                        <w:sz w:val="16"/>
                      </w:rPr>
                      <w:t>2</w:t>
                    </w:r>
                    <w:r>
                      <w:rPr>
                        <w:rFonts w:ascii="Arial"/>
                        <w:b/>
                        <w:spacing w:val="-10"/>
                        <w:w w:val="85"/>
                        <w:sz w:val="16"/>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7FEBD" w14:textId="77777777" w:rsidR="00807CEC" w:rsidRDefault="00D2336B">
    <w:pPr>
      <w:pStyle w:val="BodyText"/>
      <w:spacing w:line="14" w:lineRule="auto"/>
      <w:ind w:left="0"/>
      <w:jc w:val="left"/>
      <w:rPr>
        <w:sz w:val="20"/>
      </w:rPr>
    </w:pPr>
    <w:r>
      <w:rPr>
        <w:noProof/>
        <w:sz w:val="20"/>
      </w:rPr>
      <mc:AlternateContent>
        <mc:Choice Requires="wps">
          <w:drawing>
            <wp:anchor distT="0" distB="0" distL="0" distR="0" simplePos="0" relativeHeight="251658752" behindDoc="1" locked="0" layoutInCell="1" allowOverlap="1" wp14:anchorId="587B9128" wp14:editId="177CA2D2">
              <wp:simplePos x="0" y="0"/>
              <wp:positionH relativeFrom="page">
                <wp:posOffset>6784340</wp:posOffset>
              </wp:positionH>
              <wp:positionV relativeFrom="page">
                <wp:posOffset>9476943</wp:posOffset>
              </wp:positionV>
              <wp:extent cx="400685" cy="13843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685" cy="138430"/>
                      </a:xfrm>
                      <a:prstGeom prst="rect">
                        <a:avLst/>
                      </a:prstGeom>
                    </wps:spPr>
                    <wps:txbx>
                      <w:txbxContent>
                        <w:p w14:paraId="0F06620F" w14:textId="77777777" w:rsidR="00807CEC" w:rsidRDefault="00D2336B">
                          <w:pPr>
                            <w:spacing w:before="5"/>
                            <w:ind w:left="20"/>
                            <w:rPr>
                              <w:rFonts w:ascii="Arial"/>
                              <w:b/>
                              <w:sz w:val="16"/>
                            </w:rPr>
                          </w:pPr>
                          <w:r>
                            <w:rPr>
                              <w:rFonts w:ascii="Arial"/>
                              <w:b/>
                              <w:w w:val="85"/>
                              <w:sz w:val="16"/>
                            </w:rPr>
                            <w:t>Page</w:t>
                          </w:r>
                          <w:r>
                            <w:rPr>
                              <w:rFonts w:ascii="Arial"/>
                              <w:b/>
                              <w:spacing w:val="-6"/>
                              <w:sz w:val="16"/>
                            </w:rPr>
                            <w:t xml:space="preserve"> </w:t>
                          </w:r>
                          <w:r>
                            <w:rPr>
                              <w:rFonts w:ascii="Arial"/>
                              <w:b/>
                              <w:w w:val="85"/>
                              <w:sz w:val="16"/>
                            </w:rPr>
                            <w:t>|</w:t>
                          </w:r>
                          <w:r>
                            <w:rPr>
                              <w:rFonts w:ascii="Arial"/>
                              <w:b/>
                              <w:spacing w:val="-5"/>
                              <w:sz w:val="16"/>
                            </w:rPr>
                            <w:t xml:space="preserve"> </w:t>
                          </w:r>
                          <w:r>
                            <w:rPr>
                              <w:rFonts w:ascii="Arial"/>
                              <w:b/>
                              <w:spacing w:val="-10"/>
                              <w:w w:val="85"/>
                              <w:sz w:val="16"/>
                            </w:rPr>
                            <w:fldChar w:fldCharType="begin"/>
                          </w:r>
                          <w:r>
                            <w:rPr>
                              <w:rFonts w:ascii="Arial"/>
                              <w:b/>
                              <w:spacing w:val="-10"/>
                              <w:w w:val="85"/>
                              <w:sz w:val="16"/>
                            </w:rPr>
                            <w:instrText xml:space="preserve"> PAGE </w:instrText>
                          </w:r>
                          <w:r>
                            <w:rPr>
                              <w:rFonts w:ascii="Arial"/>
                              <w:b/>
                              <w:spacing w:val="-10"/>
                              <w:w w:val="85"/>
                              <w:sz w:val="16"/>
                            </w:rPr>
                            <w:fldChar w:fldCharType="separate"/>
                          </w:r>
                          <w:r w:rsidR="00E11315">
                            <w:rPr>
                              <w:rFonts w:ascii="Arial"/>
                              <w:b/>
                              <w:noProof/>
                              <w:spacing w:val="-10"/>
                              <w:w w:val="85"/>
                              <w:sz w:val="16"/>
                            </w:rPr>
                            <w:t>3</w:t>
                          </w:r>
                          <w:r>
                            <w:rPr>
                              <w:rFonts w:ascii="Arial"/>
                              <w:b/>
                              <w:spacing w:val="-10"/>
                              <w:w w:val="85"/>
                              <w:sz w:val="16"/>
                            </w:rPr>
                            <w:fldChar w:fldCharType="end"/>
                          </w:r>
                        </w:p>
                      </w:txbxContent>
                    </wps:txbx>
                    <wps:bodyPr wrap="square" lIns="0" tIns="0" rIns="0" bIns="0" rtlCol="0">
                      <a:noAutofit/>
                    </wps:bodyPr>
                  </wps:wsp>
                </a:graphicData>
              </a:graphic>
            </wp:anchor>
          </w:drawing>
        </mc:Choice>
        <mc:Fallback>
          <w:pict>
            <v:shapetype w14:anchorId="587B9128" id="_x0000_t202" coordsize="21600,21600" o:spt="202" path="m,l,21600r21600,l21600,xe">
              <v:stroke joinstyle="miter"/>
              <v:path gradientshapeok="t" o:connecttype="rect"/>
            </v:shapetype>
            <v:shape id="Textbox 10" o:spid="_x0000_s1027" type="#_x0000_t202" style="position:absolute;margin-left:534.2pt;margin-top:746.2pt;width:31.55pt;height:10.9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" filled="f" stroked="f">
              <v:textbox inset="0,0,0,0">
                <w:txbxContent>
                  <w:p w14:paraId="0F06620F" w14:textId="77777777" w:rsidR="00807CEC" w:rsidRDefault="00D2336B">
                    <w:pPr>
                      <w:spacing w:before="5"/>
                      <w:ind w:left="20"/>
                      <w:rPr>
                        <w:rFonts w:ascii="Arial"/>
                        <w:b/>
                        <w:sz w:val="16"/>
                      </w:rPr>
                    </w:pPr>
                    <w:r>
                      <w:rPr>
                        <w:rFonts w:ascii="Arial"/>
                        <w:b/>
                        <w:w w:val="85"/>
                        <w:sz w:val="16"/>
                      </w:rPr>
                      <w:t>Page</w:t>
                    </w:r>
                    <w:r>
                      <w:rPr>
                        <w:rFonts w:ascii="Arial"/>
                        <w:b/>
                        <w:spacing w:val="-6"/>
                        <w:sz w:val="16"/>
                      </w:rPr>
                      <w:t xml:space="preserve"> </w:t>
                    </w:r>
                    <w:r>
                      <w:rPr>
                        <w:rFonts w:ascii="Arial"/>
                        <w:b/>
                        <w:w w:val="85"/>
                        <w:sz w:val="16"/>
                      </w:rPr>
                      <w:t>|</w:t>
                    </w:r>
                    <w:r>
                      <w:rPr>
                        <w:rFonts w:ascii="Arial"/>
                        <w:b/>
                        <w:spacing w:val="-5"/>
                        <w:sz w:val="16"/>
                      </w:rPr>
                      <w:t xml:space="preserve"> </w:t>
                    </w:r>
                    <w:r>
                      <w:rPr>
                        <w:rFonts w:ascii="Arial"/>
                        <w:b/>
                        <w:spacing w:val="-10"/>
                        <w:w w:val="85"/>
                        <w:sz w:val="16"/>
                      </w:rPr>
                      <w:fldChar w:fldCharType="begin"/>
                    </w:r>
                    <w:r>
                      <w:rPr>
                        <w:rFonts w:ascii="Arial"/>
                        <w:b/>
                        <w:spacing w:val="-10"/>
                        <w:w w:val="85"/>
                        <w:sz w:val="16"/>
                      </w:rPr>
                      <w:instrText xml:space="preserve"> PAGE </w:instrText>
                    </w:r>
                    <w:r>
                      <w:rPr>
                        <w:rFonts w:ascii="Arial"/>
                        <w:b/>
                        <w:spacing w:val="-10"/>
                        <w:w w:val="85"/>
                        <w:sz w:val="16"/>
                      </w:rPr>
                      <w:fldChar w:fldCharType="separate"/>
                    </w:r>
                    <w:r w:rsidR="00E11315">
                      <w:rPr>
                        <w:rFonts w:ascii="Arial"/>
                        <w:b/>
                        <w:noProof/>
                        <w:spacing w:val="-10"/>
                        <w:w w:val="85"/>
                        <w:sz w:val="16"/>
                      </w:rPr>
                      <w:t>3</w:t>
                    </w:r>
                    <w:r>
                      <w:rPr>
                        <w:rFonts w:ascii="Arial"/>
                        <w:b/>
                        <w:spacing w:val="-10"/>
                        <w:w w:val="8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C65E5" w14:textId="77777777" w:rsidR="00A156CD" w:rsidRDefault="00A156CD">
      <w:r>
        <w:separator/>
      </w:r>
    </w:p>
  </w:footnote>
  <w:footnote w:type="continuationSeparator" w:id="0">
    <w:p w14:paraId="2C55F9F3" w14:textId="77777777" w:rsidR="00A156CD" w:rsidRDefault="00A156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F40D2"/>
    <w:multiLevelType w:val="hybridMultilevel"/>
    <w:tmpl w:val="07FCBE3A"/>
    <w:lvl w:ilvl="0" w:tplc="46FE14CA">
      <w:start w:val="1"/>
      <w:numFmt w:val="decimal"/>
      <w:lvlText w:val="[%1]"/>
      <w:lvlJc w:val="left"/>
      <w:pPr>
        <w:ind w:left="714" w:hanging="427"/>
      </w:pPr>
      <w:rPr>
        <w:rFonts w:ascii="Segoe UI" w:eastAsia="Segoe UI" w:hAnsi="Segoe UI" w:cs="Segoe UI" w:hint="default"/>
        <w:b w:val="0"/>
        <w:bCs w:val="0"/>
        <w:i w:val="0"/>
        <w:iCs w:val="0"/>
        <w:spacing w:val="-1"/>
        <w:w w:val="100"/>
        <w:sz w:val="18"/>
        <w:szCs w:val="18"/>
        <w:lang w:val="en-US" w:eastAsia="en-US" w:bidi="ar-SA"/>
      </w:rPr>
    </w:lvl>
    <w:lvl w:ilvl="1" w:tplc="E9BC5FF0">
      <w:numFmt w:val="bullet"/>
      <w:lvlText w:val="•"/>
      <w:lvlJc w:val="left"/>
      <w:pPr>
        <w:ind w:left="1728" w:hanging="427"/>
      </w:pPr>
      <w:rPr>
        <w:rFonts w:hint="default"/>
        <w:lang w:val="en-US" w:eastAsia="en-US" w:bidi="ar-SA"/>
      </w:rPr>
    </w:lvl>
    <w:lvl w:ilvl="2" w:tplc="01DE16E4">
      <w:numFmt w:val="bullet"/>
      <w:lvlText w:val="•"/>
      <w:lvlJc w:val="left"/>
      <w:pPr>
        <w:ind w:left="2736" w:hanging="427"/>
      </w:pPr>
      <w:rPr>
        <w:rFonts w:hint="default"/>
        <w:lang w:val="en-US" w:eastAsia="en-US" w:bidi="ar-SA"/>
      </w:rPr>
    </w:lvl>
    <w:lvl w:ilvl="3" w:tplc="8CE81FFC">
      <w:numFmt w:val="bullet"/>
      <w:lvlText w:val="•"/>
      <w:lvlJc w:val="left"/>
      <w:pPr>
        <w:ind w:left="3744" w:hanging="427"/>
      </w:pPr>
      <w:rPr>
        <w:rFonts w:hint="default"/>
        <w:lang w:val="en-US" w:eastAsia="en-US" w:bidi="ar-SA"/>
      </w:rPr>
    </w:lvl>
    <w:lvl w:ilvl="4" w:tplc="64825600">
      <w:numFmt w:val="bullet"/>
      <w:lvlText w:val="•"/>
      <w:lvlJc w:val="left"/>
      <w:pPr>
        <w:ind w:left="4752" w:hanging="427"/>
      </w:pPr>
      <w:rPr>
        <w:rFonts w:hint="default"/>
        <w:lang w:val="en-US" w:eastAsia="en-US" w:bidi="ar-SA"/>
      </w:rPr>
    </w:lvl>
    <w:lvl w:ilvl="5" w:tplc="CBEE135C">
      <w:numFmt w:val="bullet"/>
      <w:lvlText w:val="•"/>
      <w:lvlJc w:val="left"/>
      <w:pPr>
        <w:ind w:left="5760" w:hanging="427"/>
      </w:pPr>
      <w:rPr>
        <w:rFonts w:hint="default"/>
        <w:lang w:val="en-US" w:eastAsia="en-US" w:bidi="ar-SA"/>
      </w:rPr>
    </w:lvl>
    <w:lvl w:ilvl="6" w:tplc="0C64A616">
      <w:numFmt w:val="bullet"/>
      <w:lvlText w:val="•"/>
      <w:lvlJc w:val="left"/>
      <w:pPr>
        <w:ind w:left="6768" w:hanging="427"/>
      </w:pPr>
      <w:rPr>
        <w:rFonts w:hint="default"/>
        <w:lang w:val="en-US" w:eastAsia="en-US" w:bidi="ar-SA"/>
      </w:rPr>
    </w:lvl>
    <w:lvl w:ilvl="7" w:tplc="21226FF8">
      <w:numFmt w:val="bullet"/>
      <w:lvlText w:val="•"/>
      <w:lvlJc w:val="left"/>
      <w:pPr>
        <w:ind w:left="7776" w:hanging="427"/>
      </w:pPr>
      <w:rPr>
        <w:rFonts w:hint="default"/>
        <w:lang w:val="en-US" w:eastAsia="en-US" w:bidi="ar-SA"/>
      </w:rPr>
    </w:lvl>
    <w:lvl w:ilvl="8" w:tplc="E65CD350">
      <w:numFmt w:val="bullet"/>
      <w:lvlText w:val="•"/>
      <w:lvlJc w:val="left"/>
      <w:pPr>
        <w:ind w:left="8784" w:hanging="427"/>
      </w:pPr>
      <w:rPr>
        <w:rFonts w:hint="default"/>
        <w:lang w:val="en-US" w:eastAsia="en-US" w:bidi="ar-SA"/>
      </w:rPr>
    </w:lvl>
  </w:abstractNum>
  <w:abstractNum w:abstractNumId="1" w15:restartNumberingAfterBreak="0">
    <w:nsid w:val="0EA15C92"/>
    <w:multiLevelType w:val="hybridMultilevel"/>
    <w:tmpl w:val="3182BE94"/>
    <w:lvl w:ilvl="0" w:tplc="DA78A662">
      <w:start w:val="1"/>
      <w:numFmt w:val="upperRoman"/>
      <w:lvlText w:val="%1."/>
      <w:lvlJc w:val="left"/>
      <w:pPr>
        <w:ind w:left="443" w:hanging="156"/>
      </w:pPr>
      <w:rPr>
        <w:rFonts w:ascii="Segoe UI" w:eastAsia="Segoe UI" w:hAnsi="Segoe UI" w:cs="Segoe UI" w:hint="default"/>
        <w:b/>
        <w:bCs/>
        <w:i w:val="0"/>
        <w:iCs w:val="0"/>
        <w:spacing w:val="0"/>
        <w:w w:val="100"/>
        <w:sz w:val="18"/>
        <w:szCs w:val="18"/>
        <w:lang w:val="en-US" w:eastAsia="en-US" w:bidi="ar-SA"/>
      </w:rPr>
    </w:lvl>
    <w:lvl w:ilvl="1" w:tplc="744E65A8">
      <w:start w:val="1"/>
      <w:numFmt w:val="decimal"/>
      <w:lvlText w:val="%2)."/>
      <w:lvlJc w:val="left"/>
      <w:pPr>
        <w:ind w:left="288" w:hanging="244"/>
      </w:pPr>
      <w:rPr>
        <w:rFonts w:ascii="Segoe UI" w:eastAsia="Segoe UI" w:hAnsi="Segoe UI" w:cs="Segoe UI" w:hint="default"/>
        <w:b w:val="0"/>
        <w:bCs w:val="0"/>
        <w:i w:val="0"/>
        <w:iCs w:val="0"/>
        <w:spacing w:val="0"/>
        <w:w w:val="100"/>
        <w:sz w:val="18"/>
        <w:szCs w:val="18"/>
        <w:lang w:val="en-US" w:eastAsia="en-US" w:bidi="ar-SA"/>
      </w:rPr>
    </w:lvl>
    <w:lvl w:ilvl="2" w:tplc="7848F930">
      <w:numFmt w:val="bullet"/>
      <w:lvlText w:val="•"/>
      <w:lvlJc w:val="left"/>
      <w:pPr>
        <w:ind w:left="1591" w:hanging="244"/>
      </w:pPr>
      <w:rPr>
        <w:rFonts w:hint="default"/>
        <w:lang w:val="en-US" w:eastAsia="en-US" w:bidi="ar-SA"/>
      </w:rPr>
    </w:lvl>
    <w:lvl w:ilvl="3" w:tplc="5AFE2F8E">
      <w:numFmt w:val="bullet"/>
      <w:lvlText w:val="•"/>
      <w:lvlJc w:val="left"/>
      <w:pPr>
        <w:ind w:left="2742" w:hanging="244"/>
      </w:pPr>
      <w:rPr>
        <w:rFonts w:hint="default"/>
        <w:lang w:val="en-US" w:eastAsia="en-US" w:bidi="ar-SA"/>
      </w:rPr>
    </w:lvl>
    <w:lvl w:ilvl="4" w:tplc="D69E07E6">
      <w:numFmt w:val="bullet"/>
      <w:lvlText w:val="•"/>
      <w:lvlJc w:val="left"/>
      <w:pPr>
        <w:ind w:left="3893" w:hanging="244"/>
      </w:pPr>
      <w:rPr>
        <w:rFonts w:hint="default"/>
        <w:lang w:val="en-US" w:eastAsia="en-US" w:bidi="ar-SA"/>
      </w:rPr>
    </w:lvl>
    <w:lvl w:ilvl="5" w:tplc="62DE5194">
      <w:numFmt w:val="bullet"/>
      <w:lvlText w:val="•"/>
      <w:lvlJc w:val="left"/>
      <w:pPr>
        <w:ind w:left="5044" w:hanging="244"/>
      </w:pPr>
      <w:rPr>
        <w:rFonts w:hint="default"/>
        <w:lang w:val="en-US" w:eastAsia="en-US" w:bidi="ar-SA"/>
      </w:rPr>
    </w:lvl>
    <w:lvl w:ilvl="6" w:tplc="191EDE2C">
      <w:numFmt w:val="bullet"/>
      <w:lvlText w:val="•"/>
      <w:lvlJc w:val="left"/>
      <w:pPr>
        <w:ind w:left="6195" w:hanging="244"/>
      </w:pPr>
      <w:rPr>
        <w:rFonts w:hint="default"/>
        <w:lang w:val="en-US" w:eastAsia="en-US" w:bidi="ar-SA"/>
      </w:rPr>
    </w:lvl>
    <w:lvl w:ilvl="7" w:tplc="CCA21D5C">
      <w:numFmt w:val="bullet"/>
      <w:lvlText w:val="•"/>
      <w:lvlJc w:val="left"/>
      <w:pPr>
        <w:ind w:left="7346" w:hanging="244"/>
      </w:pPr>
      <w:rPr>
        <w:rFonts w:hint="default"/>
        <w:lang w:val="en-US" w:eastAsia="en-US" w:bidi="ar-SA"/>
      </w:rPr>
    </w:lvl>
    <w:lvl w:ilvl="8" w:tplc="D1AE86BE">
      <w:numFmt w:val="bullet"/>
      <w:lvlText w:val="•"/>
      <w:lvlJc w:val="left"/>
      <w:pPr>
        <w:ind w:left="8497" w:hanging="244"/>
      </w:pPr>
      <w:rPr>
        <w:rFonts w:hint="default"/>
        <w:lang w:val="en-US" w:eastAsia="en-US" w:bidi="ar-SA"/>
      </w:rPr>
    </w:lvl>
  </w:abstractNum>
  <w:abstractNum w:abstractNumId="2" w15:restartNumberingAfterBreak="0">
    <w:nsid w:val="56293390"/>
    <w:multiLevelType w:val="multilevel"/>
    <w:tmpl w:val="B4F81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7107C39"/>
    <w:multiLevelType w:val="multilevel"/>
    <w:tmpl w:val="EBC21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38288859">
    <w:abstractNumId w:val="0"/>
  </w:num>
  <w:num w:numId="2" w16cid:durableId="2120175264">
    <w:abstractNumId w:val="1"/>
  </w:num>
  <w:num w:numId="3" w16cid:durableId="1174344640">
    <w:abstractNumId w:val="3"/>
    <w:lvlOverride w:ilvl="0">
      <w:lvl w:ilvl="0">
        <w:numFmt w:val="upperRoman"/>
        <w:lvlText w:val="%1."/>
        <w:lvlJc w:val="right"/>
      </w:lvl>
    </w:lvlOverride>
  </w:num>
  <w:num w:numId="4" w16cid:durableId="8111695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7CEC"/>
    <w:rsid w:val="0000556F"/>
    <w:rsid w:val="0009149F"/>
    <w:rsid w:val="00125CB8"/>
    <w:rsid w:val="001365A8"/>
    <w:rsid w:val="001A119A"/>
    <w:rsid w:val="003157A1"/>
    <w:rsid w:val="00326941"/>
    <w:rsid w:val="003B0434"/>
    <w:rsid w:val="00446C43"/>
    <w:rsid w:val="0050208C"/>
    <w:rsid w:val="00547672"/>
    <w:rsid w:val="005821CE"/>
    <w:rsid w:val="005D148A"/>
    <w:rsid w:val="00640798"/>
    <w:rsid w:val="006430BE"/>
    <w:rsid w:val="006529CC"/>
    <w:rsid w:val="007B4722"/>
    <w:rsid w:val="007B5418"/>
    <w:rsid w:val="007E23A8"/>
    <w:rsid w:val="00807CEC"/>
    <w:rsid w:val="00863B3C"/>
    <w:rsid w:val="009129BF"/>
    <w:rsid w:val="00946A05"/>
    <w:rsid w:val="00A156CD"/>
    <w:rsid w:val="00A5742B"/>
    <w:rsid w:val="00A636D5"/>
    <w:rsid w:val="00AA1910"/>
    <w:rsid w:val="00AC22AD"/>
    <w:rsid w:val="00B12376"/>
    <w:rsid w:val="00B23F82"/>
    <w:rsid w:val="00B30C73"/>
    <w:rsid w:val="00B37F85"/>
    <w:rsid w:val="00B84766"/>
    <w:rsid w:val="00BE1C12"/>
    <w:rsid w:val="00D2336B"/>
    <w:rsid w:val="00D37379"/>
    <w:rsid w:val="00D71097"/>
    <w:rsid w:val="00E0553E"/>
    <w:rsid w:val="00E11315"/>
    <w:rsid w:val="00E677C7"/>
    <w:rsid w:val="00FA3F56"/>
    <w:rsid w:val="00FC06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0AAAB6"/>
  <w15:docId w15:val="{337FC361-D393-4B99-B420-42A6B8E4A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Segoe UI" w:eastAsia="Segoe UI" w:hAnsi="Segoe UI" w:cs="Segoe UI"/>
    </w:rPr>
  </w:style>
  <w:style w:type="paragraph" w:styleId="Heading1">
    <w:name w:val="heading 1"/>
    <w:basedOn w:val="Normal"/>
    <w:uiPriority w:val="1"/>
    <w:qFormat/>
    <w:pPr>
      <w:ind w:left="380"/>
      <w:outlineLvl w:val="0"/>
    </w:pPr>
    <w:rPr>
      <w:b/>
      <w:bCs/>
      <w:sz w:val="20"/>
      <w:szCs w:val="20"/>
    </w:rPr>
  </w:style>
  <w:style w:type="paragraph" w:styleId="Heading2">
    <w:name w:val="heading 2"/>
    <w:basedOn w:val="Normal"/>
    <w:uiPriority w:val="1"/>
    <w:qFormat/>
    <w:pPr>
      <w:ind w:left="1"/>
      <w:outlineLvl w:val="1"/>
    </w:pPr>
    <w:rPr>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87"/>
      <w:jc w:val="both"/>
    </w:pPr>
    <w:rPr>
      <w:sz w:val="18"/>
      <w:szCs w:val="18"/>
    </w:rPr>
  </w:style>
  <w:style w:type="paragraph" w:styleId="Title">
    <w:name w:val="Title"/>
    <w:basedOn w:val="Normal"/>
    <w:uiPriority w:val="1"/>
    <w:qFormat/>
    <w:pPr>
      <w:spacing w:before="182"/>
      <w:ind w:left="287" w:right="181"/>
    </w:pPr>
    <w:rPr>
      <w:b/>
      <w:bCs/>
      <w:sz w:val="24"/>
      <w:szCs w:val="24"/>
    </w:rPr>
  </w:style>
  <w:style w:type="paragraph" w:styleId="ListParagraph">
    <w:name w:val="List Paragraph"/>
    <w:basedOn w:val="Normal"/>
    <w:uiPriority w:val="1"/>
    <w:qFormat/>
    <w:pPr>
      <w:ind w:left="714" w:hanging="427"/>
    </w:pPr>
  </w:style>
  <w:style w:type="paragraph" w:customStyle="1" w:styleId="TableParagraph">
    <w:name w:val="Table Paragraph"/>
    <w:basedOn w:val="Normal"/>
    <w:uiPriority w:val="1"/>
    <w:qFormat/>
    <w:pPr>
      <w:spacing w:line="239" w:lineRule="exact"/>
      <w:ind w:left="119"/>
    </w:pPr>
  </w:style>
  <w:style w:type="character" w:styleId="CommentReference">
    <w:name w:val="annotation reference"/>
    <w:basedOn w:val="DefaultParagraphFont"/>
    <w:uiPriority w:val="99"/>
    <w:semiHidden/>
    <w:unhideWhenUsed/>
    <w:rsid w:val="00B23F82"/>
    <w:rPr>
      <w:sz w:val="16"/>
      <w:szCs w:val="16"/>
    </w:rPr>
  </w:style>
  <w:style w:type="paragraph" w:styleId="CommentText">
    <w:name w:val="annotation text"/>
    <w:basedOn w:val="Normal"/>
    <w:link w:val="CommentTextChar"/>
    <w:uiPriority w:val="99"/>
    <w:semiHidden/>
    <w:unhideWhenUsed/>
    <w:rsid w:val="00B23F82"/>
    <w:rPr>
      <w:sz w:val="20"/>
      <w:szCs w:val="20"/>
    </w:rPr>
  </w:style>
  <w:style w:type="character" w:customStyle="1" w:styleId="CommentTextChar">
    <w:name w:val="Comment Text Char"/>
    <w:basedOn w:val="DefaultParagraphFont"/>
    <w:link w:val="CommentText"/>
    <w:uiPriority w:val="99"/>
    <w:semiHidden/>
    <w:rsid w:val="00B23F82"/>
    <w:rPr>
      <w:rFonts w:ascii="Segoe UI" w:eastAsia="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B23F82"/>
    <w:rPr>
      <w:b/>
      <w:bCs/>
    </w:rPr>
  </w:style>
  <w:style w:type="character" w:customStyle="1" w:styleId="CommentSubjectChar">
    <w:name w:val="Comment Subject Char"/>
    <w:basedOn w:val="CommentTextChar"/>
    <w:link w:val="CommentSubject"/>
    <w:uiPriority w:val="99"/>
    <w:semiHidden/>
    <w:rsid w:val="00B23F82"/>
    <w:rPr>
      <w:rFonts w:ascii="Segoe UI" w:eastAsia="Segoe UI" w:hAnsi="Segoe UI" w:cs="Segoe UI"/>
      <w:b/>
      <w:bCs/>
      <w:sz w:val="20"/>
      <w:szCs w:val="20"/>
    </w:rPr>
  </w:style>
  <w:style w:type="paragraph" w:styleId="BalloonText">
    <w:name w:val="Balloon Text"/>
    <w:basedOn w:val="Normal"/>
    <w:link w:val="BalloonTextChar"/>
    <w:uiPriority w:val="99"/>
    <w:semiHidden/>
    <w:unhideWhenUsed/>
    <w:rsid w:val="00B23F82"/>
    <w:rPr>
      <w:sz w:val="18"/>
      <w:szCs w:val="18"/>
    </w:rPr>
  </w:style>
  <w:style w:type="character" w:customStyle="1" w:styleId="BalloonTextChar">
    <w:name w:val="Balloon Text Char"/>
    <w:basedOn w:val="DefaultParagraphFont"/>
    <w:link w:val="BalloonText"/>
    <w:uiPriority w:val="99"/>
    <w:semiHidden/>
    <w:rsid w:val="00B23F82"/>
    <w:rPr>
      <w:rFonts w:ascii="Segoe UI" w:eastAsia="Segoe UI" w:hAnsi="Segoe UI" w:cs="Segoe UI"/>
      <w:sz w:val="18"/>
      <w:szCs w:val="18"/>
    </w:rPr>
  </w:style>
  <w:style w:type="paragraph" w:styleId="NormalWeb">
    <w:name w:val="Normal (Web)"/>
    <w:basedOn w:val="Normal"/>
    <w:uiPriority w:val="99"/>
    <w:unhideWhenUsed/>
    <w:rsid w:val="00FC062A"/>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FC062A"/>
    <w:pPr>
      <w:tabs>
        <w:tab w:val="center" w:pos="4680"/>
        <w:tab w:val="right" w:pos="9360"/>
      </w:tabs>
    </w:pPr>
  </w:style>
  <w:style w:type="character" w:customStyle="1" w:styleId="HeaderChar">
    <w:name w:val="Header Char"/>
    <w:basedOn w:val="DefaultParagraphFont"/>
    <w:link w:val="Header"/>
    <w:uiPriority w:val="99"/>
    <w:rsid w:val="00FC062A"/>
    <w:rPr>
      <w:rFonts w:ascii="Segoe UI" w:eastAsia="Segoe UI" w:hAnsi="Segoe UI" w:cs="Segoe UI"/>
    </w:rPr>
  </w:style>
  <w:style w:type="paragraph" w:styleId="Footer">
    <w:name w:val="footer"/>
    <w:basedOn w:val="Normal"/>
    <w:link w:val="FooterChar"/>
    <w:uiPriority w:val="99"/>
    <w:unhideWhenUsed/>
    <w:rsid w:val="00FC062A"/>
    <w:pPr>
      <w:tabs>
        <w:tab w:val="center" w:pos="4680"/>
        <w:tab w:val="right" w:pos="9360"/>
      </w:tabs>
    </w:pPr>
  </w:style>
  <w:style w:type="character" w:customStyle="1" w:styleId="FooterChar">
    <w:name w:val="Footer Char"/>
    <w:basedOn w:val="DefaultParagraphFont"/>
    <w:link w:val="Footer"/>
    <w:uiPriority w:val="99"/>
    <w:rsid w:val="00FC062A"/>
    <w:rPr>
      <w:rFonts w:ascii="Segoe UI" w:eastAsia="Segoe UI" w:hAnsi="Segoe UI" w:cs="Segoe UI"/>
    </w:rPr>
  </w:style>
  <w:style w:type="character" w:styleId="Hyperlink">
    <w:name w:val="Hyperlink"/>
    <w:basedOn w:val="DefaultParagraphFont"/>
    <w:uiPriority w:val="99"/>
    <w:unhideWhenUsed/>
    <w:rsid w:val="00AC22AD"/>
    <w:rPr>
      <w:color w:val="0000FF" w:themeColor="hyperlink"/>
      <w:u w:val="single"/>
    </w:rPr>
  </w:style>
  <w:style w:type="character" w:styleId="UnresolvedMention">
    <w:name w:val="Unresolved Mention"/>
    <w:basedOn w:val="DefaultParagraphFont"/>
    <w:uiPriority w:val="99"/>
    <w:semiHidden/>
    <w:unhideWhenUsed/>
    <w:rsid w:val="00AC22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966864">
      <w:bodyDiv w:val="1"/>
      <w:marLeft w:val="0"/>
      <w:marRight w:val="0"/>
      <w:marTop w:val="0"/>
      <w:marBottom w:val="0"/>
      <w:divBdr>
        <w:top w:val="none" w:sz="0" w:space="0" w:color="auto"/>
        <w:left w:val="none" w:sz="0" w:space="0" w:color="auto"/>
        <w:bottom w:val="none" w:sz="0" w:space="0" w:color="auto"/>
        <w:right w:val="none" w:sz="0" w:space="0" w:color="auto"/>
      </w:divBdr>
    </w:div>
    <w:div w:id="667902255">
      <w:bodyDiv w:val="1"/>
      <w:marLeft w:val="0"/>
      <w:marRight w:val="0"/>
      <w:marTop w:val="0"/>
      <w:marBottom w:val="0"/>
      <w:divBdr>
        <w:top w:val="none" w:sz="0" w:space="0" w:color="auto"/>
        <w:left w:val="none" w:sz="0" w:space="0" w:color="auto"/>
        <w:bottom w:val="none" w:sz="0" w:space="0" w:color="auto"/>
        <w:right w:val="none" w:sz="0" w:space="0" w:color="auto"/>
      </w:divBdr>
    </w:div>
    <w:div w:id="18778894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dewips78@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3992</TotalTime>
  <Pages>7</Pages>
  <Words>3134</Words>
  <Characters>17865</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Murad Sawalmeh</dc:creator>
  <cp:lastModifiedBy>Dewi PS</cp:lastModifiedBy>
  <cp:revision>16</cp:revision>
  <dcterms:created xsi:type="dcterms:W3CDTF">2026-01-23T13:06:00Z</dcterms:created>
  <dcterms:modified xsi:type="dcterms:W3CDTF">2026-01-30T08:14:00Z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2025-03-14T00:00:00Z</vt:filetime>
  </property>
  <property fmtid="{D5CDD505-2E9C-101B-9397-08002B2CF9AE}" pid="3" name="Creator">
    <vt:lpwstr>Microsoft® Word 2021</vt:lpwstr>
  </property>
  <property fmtid="{D5CDD505-2E9C-101B-9397-08002B2CF9AE}" pid="4" name="LastSaved">
    <vt:filetime>2025-12-03T00:00:00Z</vt:filetime>
  </property>
  <property fmtid="{D5CDD505-2E9C-101B-9397-08002B2CF9AE}" pid="5" name="Producer">
    <vt:lpwstr>Microsoft® Word 2021</vt:lpwstr>
  </property>
</Properties>
</file>